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4" w:rsidRPr="00397877" w:rsidRDefault="00FF08A4" w:rsidP="00FF08A4">
      <w:pPr>
        <w:widowControl w:val="0"/>
        <w:jc w:val="right"/>
        <w:outlineLvl w:val="1"/>
      </w:pPr>
      <w:bookmarkStart w:id="0" w:name="_GoBack"/>
      <w:bookmarkEnd w:id="0"/>
      <w:r w:rsidRPr="00397877">
        <w:t xml:space="preserve">Приложение </w:t>
      </w:r>
      <w:r w:rsidR="00BD61C0">
        <w:t>5</w:t>
      </w:r>
      <w:r w:rsidRPr="00397877">
        <w:t>.3.2</w:t>
      </w:r>
    </w:p>
    <w:p w:rsidR="00FF08A4" w:rsidRPr="00397877" w:rsidRDefault="00FF08A4" w:rsidP="00FF08A4">
      <w:pPr>
        <w:widowControl w:val="0"/>
        <w:jc w:val="right"/>
        <w:outlineLvl w:val="1"/>
      </w:pPr>
      <w:r w:rsidRPr="00397877">
        <w:t xml:space="preserve">к протоколу заседания Проектного комитета </w:t>
      </w:r>
    </w:p>
    <w:p w:rsidR="00FF08A4" w:rsidRPr="00397877" w:rsidRDefault="00FF08A4" w:rsidP="00FF08A4">
      <w:pPr>
        <w:jc w:val="right"/>
      </w:pPr>
      <w:r w:rsidRPr="00397877">
        <w:t>Ханты-Мансийского автономного округа – Югры</w:t>
      </w:r>
    </w:p>
    <w:p w:rsidR="00FF08A4" w:rsidRPr="00397877" w:rsidRDefault="00FF08A4" w:rsidP="00FF08A4">
      <w:pPr>
        <w:jc w:val="right"/>
      </w:pPr>
      <w:r w:rsidRPr="00397877">
        <w:rPr>
          <w:rFonts w:eastAsia="Calibri"/>
        </w:rPr>
        <w:t>от 21.01.2019 № 1</w:t>
      </w:r>
    </w:p>
    <w:p w:rsidR="000C1793" w:rsidRPr="00397877" w:rsidRDefault="000D5273" w:rsidP="000C1793">
      <w:r w:rsidRPr="00397877">
        <w:t>Шифр проекта 051- П00 от «13</w:t>
      </w:r>
      <w:r w:rsidR="000C1793" w:rsidRPr="00397877">
        <w:t xml:space="preserve">» </w:t>
      </w:r>
      <w:r w:rsidRPr="00397877">
        <w:t>ноября 2018</w:t>
      </w:r>
      <w:r w:rsidR="000C1793" w:rsidRPr="00397877">
        <w:t>г.</w:t>
      </w:r>
    </w:p>
    <w:p w:rsidR="000C1793" w:rsidRPr="00397877" w:rsidRDefault="000C1793" w:rsidP="0065070D">
      <w:pPr>
        <w:ind w:left="2832"/>
        <w:rPr>
          <w:i/>
        </w:rPr>
      </w:pPr>
      <w:r w:rsidRPr="00397877">
        <w:rPr>
          <w:i/>
        </w:rPr>
        <w:t xml:space="preserve">    (дата запуска проекта)</w:t>
      </w:r>
    </w:p>
    <w:p w:rsidR="001B3FB3" w:rsidRPr="00397877" w:rsidRDefault="001B3FB3" w:rsidP="001B3FB3"/>
    <w:p w:rsidR="00FD0158" w:rsidRPr="00397877" w:rsidRDefault="00FD0158" w:rsidP="00FD0158">
      <w:pPr>
        <w:rPr>
          <w:lang w:eastAsia="x-none"/>
        </w:rPr>
      </w:pP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val="x-none" w:eastAsia="x-none"/>
        </w:rPr>
      </w:pPr>
      <w:r w:rsidRPr="00397877">
        <w:rPr>
          <w:b/>
          <w:lang w:val="x-none" w:eastAsia="x-none"/>
        </w:rPr>
        <w:t>П А С П О Р Т</w:t>
      </w: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eastAsia="x-none"/>
        </w:rPr>
      </w:pPr>
      <w:r w:rsidRPr="00397877">
        <w:rPr>
          <w:b/>
          <w:lang w:eastAsia="x-none"/>
        </w:rPr>
        <w:t xml:space="preserve">регионального проекта </w:t>
      </w: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val="x-none" w:eastAsia="x-none"/>
        </w:rPr>
      </w:pPr>
      <w:r w:rsidRPr="00397877">
        <w:rPr>
          <w:b/>
          <w:lang w:val="x-none" w:eastAsia="x-none"/>
        </w:rPr>
        <w:t xml:space="preserve">«Разработка и реализация программы системной поддержки и повышения качества жизни граждан старшего поколения» </w:t>
      </w:r>
    </w:p>
    <w:p w:rsidR="00FD0158" w:rsidRPr="00397877" w:rsidRDefault="00FD0158" w:rsidP="00FD0158">
      <w:pPr>
        <w:keepLines/>
        <w:widowControl w:val="0"/>
        <w:jc w:val="center"/>
        <w:outlineLvl w:val="1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"/>
        <w:gridCol w:w="851"/>
        <w:gridCol w:w="141"/>
        <w:gridCol w:w="428"/>
        <w:gridCol w:w="948"/>
        <w:gridCol w:w="325"/>
        <w:gridCol w:w="567"/>
        <w:gridCol w:w="850"/>
        <w:gridCol w:w="851"/>
        <w:gridCol w:w="852"/>
        <w:gridCol w:w="425"/>
        <w:gridCol w:w="383"/>
        <w:gridCol w:w="949"/>
        <w:gridCol w:w="949"/>
        <w:gridCol w:w="1120"/>
      </w:tblGrid>
      <w:tr w:rsidR="00FD0158" w:rsidRPr="00397877" w:rsidTr="00F30428">
        <w:trPr>
          <w:trHeight w:val="20"/>
        </w:trPr>
        <w:tc>
          <w:tcPr>
            <w:tcW w:w="144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D0158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1. Основные положения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</w:tr>
      <w:tr w:rsidR="00FD0158" w:rsidRPr="00397877" w:rsidTr="00F30428">
        <w:trPr>
          <w:trHeight w:val="170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Наименование федерального проекта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FD0158" w:rsidRPr="00397877" w:rsidTr="00F30428">
        <w:trPr>
          <w:trHeight w:val="235"/>
        </w:trPr>
        <w:tc>
          <w:tcPr>
            <w:tcW w:w="4786" w:type="dxa"/>
            <w:gridSpan w:val="3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Краткое наименование регионального проекта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«Старшее поколение»</w:t>
            </w:r>
          </w:p>
        </w:tc>
        <w:tc>
          <w:tcPr>
            <w:tcW w:w="2978" w:type="dxa"/>
            <w:gridSpan w:val="4"/>
            <w:shd w:val="clear" w:color="auto" w:fill="FFFFFF"/>
            <w:vAlign w:val="center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 xml:space="preserve">Срок начала и 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окончания проекта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01.0</w:t>
            </w:r>
            <w:r w:rsidRPr="00397877">
              <w:rPr>
                <w:lang w:val="en-US"/>
              </w:rPr>
              <w:t>1</w:t>
            </w:r>
            <w:r w:rsidRPr="00397877">
              <w:t>.2019 - 31.12.2024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Куратор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Руководитель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Депсоцразвития Югры)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Администратор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pStyle w:val="logo-text-lcase"/>
              <w:spacing w:before="0" w:beforeAutospacing="0" w:after="0" w:afterAutospacing="0"/>
              <w:jc w:val="both"/>
            </w:pPr>
            <w:r w:rsidRPr="00397877">
              <w:t>Шулдикова Елена Анатольевна, консультант отдела межведомственной координации вопросов демографической и семейной политики Депсоцразвития Югры (замещающее лицо – Ибраева Римма Хасановна, 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Связь с государственными программами Ханты-Мансийского автономного   округа - Югры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lastRenderedPageBreak/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  №</w:t>
            </w:r>
            <w:r w:rsidRPr="00397877">
              <w:rPr>
                <w:strike/>
              </w:rPr>
              <w:t xml:space="preserve"> </w:t>
            </w:r>
            <w:r w:rsidRPr="00397877">
              <w:t>340-п;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 № 341-п;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 от 5 октября 2018 года № 355-п;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 от 5 октября 2018 года  № 343-п;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</w:pPr>
            <w:r w:rsidRPr="00397877"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</w:t>
            </w:r>
          </w:p>
        </w:tc>
      </w:tr>
      <w:tr w:rsidR="00FD0158" w:rsidRPr="00397877" w:rsidTr="00F30428">
        <w:trPr>
          <w:trHeight w:val="176"/>
        </w:trPr>
        <w:tc>
          <w:tcPr>
            <w:tcW w:w="1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rPr>
                <w:b/>
              </w:rPr>
            </w:pPr>
          </w:p>
          <w:p w:rsidR="00FD0158" w:rsidRPr="00397877" w:rsidRDefault="00FD0158" w:rsidP="004B43DF">
            <w:pPr>
              <w:pStyle w:val="a3"/>
              <w:keepNext/>
              <w:widowControl w:val="0"/>
              <w:spacing w:after="200" w:line="276" w:lineRule="auto"/>
              <w:jc w:val="center"/>
              <w:rPr>
                <w:b/>
              </w:rPr>
            </w:pPr>
            <w:r w:rsidRPr="00397877">
              <w:rPr>
                <w:b/>
              </w:rPr>
              <w:t>2.Цель и показатели регионального проекта</w:t>
            </w:r>
          </w:p>
        </w:tc>
      </w:tr>
      <w:tr w:rsidR="00FD0158" w:rsidRPr="00397877" w:rsidTr="00F30428">
        <w:trPr>
          <w:trHeight w:val="269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142" w:right="-108"/>
              <w:jc w:val="center"/>
              <w:rPr>
                <w:b/>
              </w:rPr>
            </w:pPr>
            <w:r w:rsidRPr="00397877">
              <w:rPr>
                <w:b/>
              </w:rPr>
              <w:t>Цель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142" w:right="-108"/>
              <w:jc w:val="center"/>
            </w:pPr>
            <w:r w:rsidRPr="00397877">
              <w:t>Увеличить ожидаемую продолжительность здоровой жизни до 67 лет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Наименование показателя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Тип показателя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Базовое значение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Период, год</w:t>
            </w:r>
          </w:p>
        </w:tc>
      </w:tr>
      <w:tr w:rsidR="00FD0158" w:rsidRPr="00397877" w:rsidTr="00F30428">
        <w:trPr>
          <w:trHeight w:val="43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b/>
              </w:rPr>
            </w:pPr>
            <w:r w:rsidRPr="00397877">
              <w:rPr>
                <w:b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b/>
              </w:rPr>
            </w:pPr>
            <w:r w:rsidRPr="00397877">
              <w:rPr>
                <w:b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2024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</w:pPr>
            <w:r w:rsidRPr="00397877">
              <w:t>Ожидаемая продолжительность жизни граждан в возрасте 55 лет</w:t>
            </w:r>
            <w:r w:rsidRPr="00397877">
              <w:rPr>
                <w:rStyle w:val="a8"/>
              </w:rPr>
              <w:footnoteReference w:id="1"/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left="-57" w:right="-57"/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24,33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</w:tr>
      <w:tr w:rsidR="00FD0158" w:rsidRPr="00397877" w:rsidTr="00F30428">
        <w:trPr>
          <w:trHeight w:val="1115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>Снижение смертности населения старше трудоспособного возраста (на 1000 человек населения соответствующего возраста)</w:t>
            </w:r>
            <w:r w:rsidRPr="00397877">
              <w:rPr>
                <w:rStyle w:val="a8"/>
              </w:rPr>
              <w:footnoteReference w:id="2"/>
            </w:r>
            <w:r w:rsidRPr="00397877">
              <w:t xml:space="preserve"> 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left="-57" w:right="-57"/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24,0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23,9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23,7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 xml:space="preserve">Уровень госпитализации на геронтологические койки лиц </w:t>
            </w:r>
            <w:r w:rsidRPr="00397877">
              <w:lastRenderedPageBreak/>
              <w:t>старше 60 лет на 10 тыс. населения соответствующего возраста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u w:color="000000"/>
                <w:lang w:val="en-US"/>
              </w:rPr>
            </w:pPr>
            <w:r w:rsidRPr="00397877">
              <w:rPr>
                <w:rFonts w:eastAsia="Arial Unicode MS"/>
                <w:u w:color="000000"/>
              </w:rPr>
              <w:lastRenderedPageBreak/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д</w:t>
            </w:r>
            <w:r w:rsidRPr="00397877">
              <w:t>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  <w:rPr>
                <w:vertAlign w:val="superscript"/>
              </w:rPr>
            </w:pPr>
            <w:r w:rsidRPr="00397877">
              <w:rPr>
                <w:lang w:val="en-US"/>
              </w:rPr>
              <w:t>17</w:t>
            </w:r>
            <w:r w:rsidRPr="00397877">
              <w:t>,</w:t>
            </w:r>
            <w:r w:rsidRPr="00397877">
              <w:rPr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23,0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28,0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34,0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55,7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65,3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70,0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62,31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ind w:left="-106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62,4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62,3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64,7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68,9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80,0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90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AB9" w:rsidRPr="00397877" w:rsidRDefault="00FD0158" w:rsidP="00F30428">
            <w:pPr>
              <w:shd w:val="clear" w:color="auto" w:fill="FFFFFF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</w:t>
            </w:r>
            <w:r w:rsidR="00065D5C" w:rsidRPr="00397877">
              <w:rPr>
                <w:rFonts w:eastAsia="Arial Unicode MS"/>
                <w:u w:color="000000"/>
              </w:rPr>
              <w:t>, чел.</w:t>
            </w:r>
            <w:r w:rsidR="00056AB9" w:rsidRPr="00397877">
              <w:rPr>
                <w:rFonts w:eastAsia="Arial Unicode MS"/>
                <w:u w:color="000000"/>
              </w:rPr>
              <w:t xml:space="preserve"> (нарастающим итогом)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723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1446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2169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2892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3615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4 338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дополнительный показатель регионального проекта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1</w:t>
            </w:r>
            <w:r w:rsidRPr="00397877"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</w:tr>
      <w:tr w:rsidR="00FD0158" w:rsidRPr="00397877" w:rsidTr="00F30428">
        <w:trPr>
          <w:trHeight w:val="155"/>
        </w:trPr>
        <w:tc>
          <w:tcPr>
            <w:tcW w:w="1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rPr>
                <w:b/>
                <w:lang w:val="en-US"/>
              </w:rPr>
            </w:pPr>
          </w:p>
          <w:p w:rsidR="00FD0158" w:rsidRPr="00397877" w:rsidRDefault="00FD0158" w:rsidP="00FD0158">
            <w:pPr>
              <w:widowControl w:val="0"/>
              <w:ind w:left="720"/>
              <w:jc w:val="center"/>
              <w:rPr>
                <w:b/>
              </w:rPr>
            </w:pPr>
            <w:r w:rsidRPr="00397877">
              <w:rPr>
                <w:b/>
              </w:rPr>
              <w:t>3.Результаты регионального проекта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</w:tr>
      <w:tr w:rsidR="00FD0158" w:rsidRPr="00397877" w:rsidTr="00F30428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right="-108"/>
              <w:jc w:val="center"/>
              <w:rPr>
                <w:b/>
              </w:rPr>
            </w:pPr>
            <w:r w:rsidRPr="00397877">
              <w:rPr>
                <w:b/>
              </w:rPr>
              <w:t>№</w:t>
            </w:r>
          </w:p>
          <w:p w:rsidR="00FD0158" w:rsidRPr="00397877" w:rsidRDefault="00FD0158" w:rsidP="00F30428">
            <w:pPr>
              <w:widowControl w:val="0"/>
              <w:ind w:right="-108"/>
              <w:jc w:val="center"/>
              <w:rPr>
                <w:b/>
              </w:rPr>
            </w:pPr>
            <w:r w:rsidRPr="00397877">
              <w:rPr>
                <w:b/>
              </w:rPr>
              <w:t>п/п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Наименование задачи, результата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Срок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Характеристика результата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rPr>
                <w:strike/>
              </w:rPr>
            </w:pP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Задача национального проекта</w:t>
            </w:r>
            <w:r w:rsidRPr="00397877">
              <w:rPr>
                <w:i/>
              </w:rPr>
              <w:t xml:space="preserve">:  </w:t>
            </w:r>
            <w:r w:rsidRPr="00397877">
              <w:t>Разработка и реализация программы системной поддержки и повышения качества жизни граждан старшего поколения</w:t>
            </w:r>
            <w:r w:rsidRPr="00397877">
              <w:rPr>
                <w:i/>
              </w:rPr>
              <w:t xml:space="preserve"> 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проекта: Увеличение периода активного долголетия  и продолжительности здоровой жизни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lastRenderedPageBreak/>
              <w:t>Характеристика результата федерального проекта (справочно из паспорта федерального проекта): В 85 субъектах Российской Федерации будут функционировать гериатрические центры и геронтологические отделения,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 Минздравом России совместно с органами государственной власти субъектов Российской Федерации в сфере охраны здоровья будет проведен завершающий мониторинг ресурсной обеспеченности медицинской помощи по профилю «гериатрия», результаты которого будут опубликованы на сайте Министерства. Минздравом России будут разработаны и утверждены 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 Органами государственной власти субъектов Российской Федерации в сфере охраны здоровья будет осуществлено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 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инфекции. Органами исполнительной власти будут ежегодно проводиться конкурсные процедуры и закупка вакцины, ее поставка в медицинские организации, которые будут проводить вакцинацию граждан старше трудоспособного возраста из групп риска, проживающих в организациях социального обслуживания. Роспечатью будет оказана государственная поддержка производства телевизионных и радиопрограмм, телевизионных документальных фильмов, направленных 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</w:p>
          <w:p w:rsidR="00FD0158" w:rsidRPr="00397877" w:rsidRDefault="00FD0158" w:rsidP="00F30428">
            <w:pPr>
              <w:widowControl w:val="0"/>
              <w:shd w:val="clear" w:color="auto" w:fill="FFFFFF" w:themeFill="background1"/>
              <w:jc w:val="both"/>
            </w:pPr>
            <w:r w:rsidRPr="00397877"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  <w:p w:rsidR="00FD0158" w:rsidRPr="00397877" w:rsidRDefault="00FD0158" w:rsidP="00F30428">
            <w:pPr>
              <w:widowControl w:val="0"/>
              <w:shd w:val="clear" w:color="auto" w:fill="FFFFFF" w:themeFill="background1"/>
              <w:jc w:val="both"/>
            </w:pPr>
            <w:r w:rsidRPr="00397877">
              <w:t>Срок (справочно из паспорта федерального проекта): 2024 год</w:t>
            </w:r>
          </w:p>
        </w:tc>
      </w:tr>
      <w:tr w:rsidR="00FD0158" w:rsidRPr="00397877" w:rsidTr="00F30428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right="-108"/>
              <w:jc w:val="center"/>
            </w:pPr>
            <w:r w:rsidRPr="00397877">
              <w:lastRenderedPageBreak/>
              <w:t>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Не менее 70 процентов лиц старше трудоспособного возраста охвачены профилактическими осмотрами и диспансеризацией к концу 2024 года: 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2019 году не менее 23 процентов лиц старше трудоспособного возраста;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2020 году – не менее 28% лиц старше трудоспособного возраста; 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2021 году – не менее 34%  лиц старше трудоспособного возраста; 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2022 году – не менее 55,7 %  лиц старше трудоспособного возраста;  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2023 году – не менее 65,3 % лиц старше трудоспособного возраста;</w:t>
            </w:r>
          </w:p>
          <w:p w:rsidR="00FD0158" w:rsidRPr="00397877" w:rsidRDefault="00FD0158" w:rsidP="00F30428">
            <w:pPr>
              <w:jc w:val="both"/>
            </w:pPr>
            <w:r w:rsidRPr="00397877">
              <w:lastRenderedPageBreak/>
              <w:t>в 2024 году – не менее 70 %  лиц старше трудоспособного возраста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С учетом выделенных объемов медицинской помощи медицинскими организации, подведомственными органам государственной власти субъектов Российской Федерации в сфере охраны здоровья, будут проведены мероприятия, включая подворовые обходы, доставку пожилых граждан в медицинские организации, выезд медицинских бригад в отдаленные населенные пункты, обеспечивающие охват профилактическими осмотрами, включая  диспансеризации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right="-108"/>
              <w:jc w:val="center"/>
            </w:pPr>
            <w:r w:rsidRPr="00397877">
              <w:lastRenderedPageBreak/>
              <w:t>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Не менее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 к концу 2024 года</w:t>
            </w: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 автономном округе 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На основании выделенных объемов медицинской помощи 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Не менее 95 % граждан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Будут ежегодно проводиться конкурсные процедуры и закупка вакцины, ее поставка в медицинские организации, которые будут проводить вакцинацию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В 2020-2024 гг. проведены дополнительные скрининги лицам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  <w:p w:rsidR="00FD0158" w:rsidRPr="00397877" w:rsidRDefault="00FD0158" w:rsidP="00F30428">
            <w:pPr>
              <w:widowControl w:val="0"/>
              <w:jc w:val="center"/>
            </w:pP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осуществлено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2019 году обеспечено не менее  1095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По согласованию с телерадиокомпаниями окружного и муниципального уровня подготовка и размещение программ в эфире теле- и радиоканалов, направленных на поддержку и повышение качества жизни граждан старшего поколения.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рамках федеральной информационно-коммуникационной кампании будет осуществлен прокат предоставленного материала в средствах массовой коммуникации окружного уровня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В 2019 году обеспечено не менее  200 информационных публикаций, направленных на поддержку и повышение качества жизни граждан старшего поколения, в печатных </w:t>
            </w:r>
            <w:r w:rsidRPr="00397877">
              <w:lastRenderedPageBreak/>
              <w:t>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01.12.2019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 xml:space="preserve">Организация в периодических печатных изданиях окружного и </w:t>
            </w:r>
            <w:r w:rsidRPr="00397877">
              <w:lastRenderedPageBreak/>
              <w:t>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17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1.7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2020 году в 1 муниципальном образовании автономного округа создано  геронтологическое отделение, в котором помощь получена не менее 600 гражданами старше трудоспособного возраста</w:t>
            </w:r>
          </w:p>
          <w:p w:rsidR="00FD0158" w:rsidRPr="00397877" w:rsidRDefault="00FD0158" w:rsidP="00F30428">
            <w:pPr>
              <w:jc w:val="both"/>
              <w:rPr>
                <w:i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2020 году обеспечено не менее  1 460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2020 году обеспечено не менее 240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2021 году обеспечено не менее  1 825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2021 году обеспечено не менее 280 информационных публикаций, направленных на поддержку и повышение качества жизни граждан старшего поколения, в печатных СМИ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В 2022 году обеспечено не менее  2 190 информационных выходов, направленных на поддержку и повышение качества жизни </w:t>
            </w:r>
            <w:r w:rsidRPr="00397877">
              <w:lastRenderedPageBreak/>
              <w:t>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01.12.2022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lastRenderedPageBreak/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1.13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2022 году обеспечено не менее 320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01.12.2022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2023 году обеспечено не менее 2 555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2023 году обеспечено не менее 360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Cs/>
              </w:rPr>
            </w:pPr>
            <w:r w:rsidRPr="00397877">
              <w:rPr>
                <w:bCs/>
              </w:rPr>
              <w:t>В 2023 году в 2 муниципальных образованиях автономного округа созданы  геронтологические отделения, в которых помощь получена не менее 1200 гражданами старше трудоспособного возраста.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2024 году обеспечено не менее  2 920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jc w:val="both"/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В 2024 году обеспечено не менее 400 информационных публикаций, направленных на поддержку и повышение качества жизни </w:t>
            </w:r>
            <w:r w:rsidRPr="00397877">
              <w:lastRenderedPageBreak/>
              <w:t>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lastRenderedPageBreak/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1.19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2024 году в 2 муниципальных образованиях автономного округа созданы  геронтологические отделения и гериатрический центр, в которых помощь получена не менее 1800 гражданами старше трудоспособного возраста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2019 году обеспечено не менее  1095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По согласованию с телерадиокомпаниями окружного и муниципального уровня подготовка и размещение программ в эфире теле- и радиоканалов, направленных на поддержку и повышение качества жизни граждан старшего поколения.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В рамках федеральной информационно-коммуникационной кампании будет осуществлен прокат предоставленного материала в средствах массовой коммуникации окружного уровня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highlight w:val="yellow"/>
              </w:rPr>
            </w:pPr>
            <w:r w:rsidRPr="00397877">
              <w:t>1.21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В целях осуществления доставки в медицинские организации лиц старше 65 лет, проживающих в сельской местности, в 2019 году приобретен автотранспорт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01.08.2019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Департаментом социального развития Ханты-Мансийского автономного округа – Югры будут проведены конкурсные процедуры и закуплен автотранспорт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(справочно из паспорта федерального проекта): 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(справочно из паспорта федерального проекта): В 85 субъектах Российской Федерации в 2022 году внедряется  система долговременного ухода (к 2022 году будут утверждены региональные планы мероприятий «дорожные карты» по созданию системы долговременного ухода. Органами исполнительной власти регионов при методической поддержке Минтруда России и Минздрава России до конца 2024 года будут осуществлены мероприятия «дорожной карты»).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(справочно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Совершенствование порядка выявления </w:t>
            </w:r>
            <w:r w:rsidRPr="00397877">
              <w:lastRenderedPageBreak/>
              <w:t>граждан, нуждающихся в предоставлении социальных и медицинских услуг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01.09.2019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Усовершенствован порядок выявления граждан, нуждающихся в </w:t>
            </w:r>
            <w:r w:rsidRPr="00397877">
              <w:lastRenderedPageBreak/>
              <w:t>предоставлении социальных и медицинских услуг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2.2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01.09.2019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Определены критерии оценки обстоятельств, ухудшающих условия жизнедеятельности граждан пожилого возраста,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Применение при организации социального обслуживания стационарозамещающих технологий, выездных форм обслуживания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Реализуются стационарозамещающие технологии (организация приемных семей для пожилых граждан, предоставление сертификатов на оплату услуг по уходу за одинокими тяжелобольными гражданами), выездная форма обслуживания - мобильная социальная служба (мобильные бригады)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Открытие на базе комплексного центра социального обслуживания населения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01.11.2019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Открыто социально-реабилитационное отделение для инвалидов с психическими расстройствами на условиях круглосуточного пребывания по путевочной системе (технология «Передышка») на базе комплексного центра социального обслуживания населения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Реализуется в пилотной организации социального обслуживания стационарозамещающая технология «Сопровождаемое проживание»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2.6.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Для совершенствования межведомственного взаимодействия медицинских организаций и организаций социального обслуживания к 31.12.2021 внедрена информационная система для интеграции и (или) синхронизации информационных систем в соответствующих сферах (сведения в сфере социального обслуживания, социальной защиты, охраны здоровья граждан)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</w:t>
            </w:r>
            <w:r w:rsidRPr="00397877">
              <w:lastRenderedPageBreak/>
              <w:t>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01.11.2021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На основании утвержденных Минтрудом России и Минздравом России требований к «дорожным картам» по созданию системы долговременного ухода (типовая межведомственная «дорожная карта») будет разработан региональный план мероприятий («дорожная карта») по созданию и внедрению системы долговременного ухода, которая включает мероприятия по </w:t>
            </w:r>
            <w:r w:rsidRPr="00397877">
              <w:lastRenderedPageBreak/>
              <w:t>повышению эффективности межведомственного взаимодействия, включая процессы сбора, хранения и передачи 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Предполагается поддерживать развитие стационарозамещающих технологий, а также совершенствовать предоставление социальных услуг и медицинской помощи на дому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2.8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Внедрена система долговременного ухода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 автономном округе к 31.12.2024 реализуется система долговременного ухода за гражданами пожилого возраста и инвалидами, обеспечено сбалансированное социальное обслуживание на дому, в полустационарной и стационарной форме и медицинская помощь на дому, с привлечением патронажной службы и сиделок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(справочно из паспорта федерального проекта): 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(справочно из паспорта федерального проекта): 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 (места для проживания граждан, общая площадь). 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(справочно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</w:t>
            </w:r>
            <w:r w:rsidRPr="00397877">
              <w:t>государственной программой автономного округа «</w:t>
            </w:r>
            <w:r w:rsidRPr="00397877">
              <w:rPr>
                <w:rFonts w:eastAsia="Arial Unicode MS"/>
                <w:bCs/>
                <w:u w:color="000000"/>
              </w:rPr>
              <w:t xml:space="preserve">Социальное и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демографическое развитие»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Реализован комплекс мероприятий по поддержанию надлежащего состояния 11 стационарных организаций социального обслуживания.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Обеспечено комфортное стационарное проживание граждан, приближенное к домашним условиям.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 xml:space="preserve">Отсутствуют очереди в стационарные организации социального </w:t>
            </w:r>
            <w:r w:rsidRPr="00397877">
              <w:lastRenderedPageBreak/>
              <w:t>обслуживания, и не допускается их возникновение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lastRenderedPageBreak/>
              <w:t>3.2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jc w:val="both"/>
            </w:pPr>
            <w:r w:rsidRPr="00397877">
              <w:t xml:space="preserve">Привлечены негосударственные организации, в том числе социально ориентированные некоммерческие организации, к оказанию услуг в сфере социального обслуживания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Привлечены негосударственные организации к оказанию услуг в сфере социального обслуживания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4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(справочно из паспорта федерального проекта): Организация мероприятий по профессиональному обучению и дополнительному профессиональному образованию лиц предпенсионного возраста.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(справочно из паспорта федерального проекта): 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(справочно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4.1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Организовано профессиональное обучение и дополнительное профессиональное образование 4338 граждан предпенсионного возраста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Реализация мероприятия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 и будет способствовать продолжению их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обучения граждан предпенсионного возраста позволит повысить качество рабочей силы и их конкурентоспособность на рынке труда, а также защитит права и интересы граждан,  повысит их благосостояние и социальное благополучие, создаст условия для активного участия в жизни общества</w:t>
            </w:r>
          </w:p>
        </w:tc>
      </w:tr>
    </w:tbl>
    <w:p w:rsidR="00FD0158" w:rsidRPr="00397877" w:rsidRDefault="00FD0158" w:rsidP="00FD0158"/>
    <w:p w:rsidR="00FD0158" w:rsidRPr="00397877" w:rsidRDefault="00FD0158" w:rsidP="00FD0158">
      <w:pPr>
        <w:spacing w:after="200" w:line="276" w:lineRule="auto"/>
        <w:ind w:left="360"/>
        <w:jc w:val="center"/>
        <w:rPr>
          <w:b/>
        </w:rPr>
      </w:pPr>
      <w:r w:rsidRPr="00397877">
        <w:rPr>
          <w:b/>
        </w:rPr>
        <w:t>4.Финансовое обеспечение реализации регионального проекта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4825"/>
        <w:gridCol w:w="1210"/>
        <w:gridCol w:w="60"/>
        <w:gridCol w:w="1136"/>
        <w:gridCol w:w="1357"/>
        <w:gridCol w:w="1363"/>
        <w:gridCol w:w="1359"/>
        <w:gridCol w:w="1169"/>
        <w:gridCol w:w="1134"/>
      </w:tblGrid>
      <w:tr w:rsidR="00FD0158" w:rsidRPr="00397877" w:rsidTr="00F30428">
        <w:trPr>
          <w:trHeight w:val="262"/>
        </w:trPr>
        <w:tc>
          <w:tcPr>
            <w:tcW w:w="959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№ п/п</w:t>
            </w:r>
          </w:p>
        </w:tc>
        <w:tc>
          <w:tcPr>
            <w:tcW w:w="4825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Наименование результата и источники финансирования</w:t>
            </w:r>
          </w:p>
        </w:tc>
        <w:tc>
          <w:tcPr>
            <w:tcW w:w="7654" w:type="dxa"/>
            <w:gridSpan w:val="7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 xml:space="preserve">Всего 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(млн. рублей)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vMerge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  <w:tc>
          <w:tcPr>
            <w:tcW w:w="4825" w:type="dxa"/>
            <w:vMerge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2019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2022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2023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</w:t>
            </w:r>
          </w:p>
        </w:tc>
        <w:tc>
          <w:tcPr>
            <w:tcW w:w="13613" w:type="dxa"/>
            <w:gridSpan w:val="9"/>
            <w:shd w:val="clear" w:color="auto" w:fill="auto"/>
          </w:tcPr>
          <w:p w:rsidR="00FD0158" w:rsidRPr="00397877" w:rsidRDefault="00FD0158" w:rsidP="00F30428">
            <w:pPr>
              <w:rPr>
                <w:b/>
                <w:i/>
                <w:highlight w:val="yellow"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15,803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30,597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федеральный бюджет (в т.ч. межбюджетные трансферты бюджету Ханты-Мансийского автономного округа – Югры)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15,803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30,597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auto"/>
          </w:tcPr>
          <w:p w:rsidR="00FD0158" w:rsidRPr="00397877" w:rsidRDefault="00FD0158" w:rsidP="00F30428">
            <w:r w:rsidRPr="00397877">
              <w:t>Федеральный бюджет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highlight w:val="yellow"/>
                <w:u w:color="000000"/>
              </w:rPr>
            </w:pPr>
            <w:r w:rsidRPr="00397877">
              <w:t>В целях осуществления доставки в медицинские организации лиц старше 65 лет, проживающих в сельской местности, в 2019 году приобретен автотранспорт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15,2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15,2</w:t>
            </w:r>
          </w:p>
        </w:tc>
      </w:tr>
      <w:tr w:rsidR="00FD0158" w:rsidRPr="00397877" w:rsidTr="00F30428">
        <w:trPr>
          <w:trHeight w:val="235"/>
        </w:trPr>
        <w:tc>
          <w:tcPr>
            <w:tcW w:w="5784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0,603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15,397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1.1.1.2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0,603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0,060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0,723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Проведение дополнительных скринингов лицам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11,598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3,076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14</w:t>
            </w:r>
            <w:r w:rsidR="00065D5C" w:rsidRPr="00397877">
              <w:t>,674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1.1.2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консолидированный бюджет субъекта Российской Федерации, в т.ч.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r w:rsidRPr="00397877">
              <w:t>внебюджетные источники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lastRenderedPageBreak/>
              <w:t>2.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федеральный бюджет (в т.ч.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консолидированный бюджет субъекта Российской Федерации, в т.ч.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  <w:highlight w:val="yellow"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lastRenderedPageBreak/>
              <w:t>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Содействие приведению организаций социального обслуживания в надлежащее состояние,                                 а также ликвидации очередей в них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федеральный бюджет (в т.ч.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консолидированный бюджет субъекта Российской Федерации, в т.ч.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4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rPr>
                <w:b/>
              </w:rPr>
              <w:t xml:space="preserve">Результат федерального проекта: Организация мероприятий по профессиональному обучению и дополнительному </w:t>
            </w:r>
            <w:r w:rsidRPr="00397877">
              <w:rPr>
                <w:b/>
              </w:rPr>
              <w:br/>
              <w:t>профессиональному образованию лиц предпенсионного возраста</w:t>
            </w:r>
          </w:p>
        </w:tc>
      </w:tr>
      <w:tr w:rsidR="00F3042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4.1</w:t>
            </w:r>
          </w:p>
        </w:tc>
        <w:tc>
          <w:tcPr>
            <w:tcW w:w="4825" w:type="dxa"/>
            <w:shd w:val="clear" w:color="auto" w:fill="FFFFFF"/>
          </w:tcPr>
          <w:p w:rsidR="00F30428" w:rsidRPr="00397877" w:rsidRDefault="00F3042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370,32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федеральный бюджет (в т.ч.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  <w:rPr>
                <w:lang w:val="en-US"/>
              </w:rPr>
            </w:pPr>
            <w:r w:rsidRPr="00397877">
              <w:t>351,804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3042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30428" w:rsidRPr="00397877" w:rsidRDefault="00F30428" w:rsidP="00F30428">
            <w:pPr>
              <w:jc w:val="center"/>
            </w:pPr>
            <w:r w:rsidRPr="00397877">
              <w:t>4.1.3</w:t>
            </w:r>
          </w:p>
        </w:tc>
        <w:tc>
          <w:tcPr>
            <w:tcW w:w="4825" w:type="dxa"/>
            <w:shd w:val="clear" w:color="auto" w:fill="FFFFFF"/>
          </w:tcPr>
          <w:p w:rsidR="00F30428" w:rsidRPr="00397877" w:rsidRDefault="00F30428" w:rsidP="00F30428">
            <w:pPr>
              <w:jc w:val="both"/>
            </w:pPr>
            <w:r w:rsidRPr="00397877">
              <w:t>консолидированный бюджет субъекта Российской Федерации, в т.ч.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18,516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18,5</w:t>
            </w:r>
            <w:r w:rsidR="00F30428" w:rsidRPr="00397877">
              <w:t>16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D2574E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D2574E" w:rsidRPr="00397877" w:rsidRDefault="00D2574E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Всего по региональному проекту, в том числе: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</w:rPr>
            </w:pPr>
            <w:r w:rsidRPr="00397877">
              <w:rPr>
                <w:b/>
                <w:bCs/>
                <w:color w:val="000000"/>
              </w:rPr>
              <w:t>118,165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D2574E" w:rsidRPr="00397877" w:rsidRDefault="00EB09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117,95</w:t>
            </w:r>
            <w:r w:rsidRPr="00397877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111,726</w:t>
            </w:r>
            <w:r w:rsidR="00EB09E6" w:rsidRPr="00397877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74E" w:rsidRPr="00397877" w:rsidRDefault="00EB09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673,61</w:t>
            </w:r>
            <w:r w:rsidRPr="00397877">
              <w:rPr>
                <w:b/>
                <w:bCs/>
                <w:color w:val="000000"/>
                <w:lang w:val="en-US"/>
              </w:rPr>
              <w:t>47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федеральный бюджет (в т.ч.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74,437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70,292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61,77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382,401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522490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522490" w:rsidRPr="00397877" w:rsidRDefault="00522490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консолидированный бюджет субъекта Российской Федерации, в т.ч.: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43,728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47,6597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291,2137</w:t>
            </w:r>
          </w:p>
        </w:tc>
      </w:tr>
      <w:tr w:rsidR="00D2574E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D2574E" w:rsidRPr="00397877" w:rsidRDefault="00D2574E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бюджеты муниципальных образований (без учета межбюджетных трансфертов из бюджета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</w:tbl>
    <w:p w:rsidR="00FD0158" w:rsidRPr="00397877" w:rsidRDefault="00FD0158" w:rsidP="00FD0158"/>
    <w:p w:rsidR="00FD0158" w:rsidRPr="00397877" w:rsidRDefault="00FD0158" w:rsidP="00FD0158">
      <w:pPr>
        <w:keepNext/>
        <w:widowControl w:val="0"/>
        <w:shd w:val="clear" w:color="auto" w:fill="FFFFFF"/>
        <w:suppressAutoHyphens/>
        <w:spacing w:before="240"/>
        <w:ind w:left="360"/>
        <w:jc w:val="center"/>
        <w:rPr>
          <w:b/>
        </w:rPr>
      </w:pPr>
      <w:r w:rsidRPr="00397877">
        <w:rPr>
          <w:b/>
        </w:rPr>
        <w:lastRenderedPageBreak/>
        <w:t>5.Участники регионального  проекта</w:t>
      </w:r>
    </w:p>
    <w:p w:rsidR="00FD0158" w:rsidRPr="00397877" w:rsidRDefault="00FD0158" w:rsidP="00FD0158">
      <w:pPr>
        <w:pStyle w:val="a3"/>
        <w:keepNext/>
        <w:widowControl w:val="0"/>
        <w:shd w:val="clear" w:color="auto" w:fill="FFFFFF"/>
        <w:suppressAutoHyphens/>
        <w:spacing w:before="240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41"/>
        <w:gridCol w:w="2552"/>
        <w:gridCol w:w="3969"/>
        <w:gridCol w:w="2977"/>
        <w:gridCol w:w="1559"/>
      </w:tblGrid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№ п/п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Роль в региональном проекте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Непосредственный руководитель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ind w:left="-108"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Занятость в проекте     (процентов)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Руководитель</w:t>
            </w:r>
            <w:r w:rsidRPr="00397877">
              <w:rPr>
                <w:rFonts w:eastAsia="Calibri"/>
              </w:rPr>
              <w:t xml:space="preserve"> регионального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 директор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strike/>
              </w:rPr>
            </w:pPr>
            <w:r w:rsidRPr="00397877">
              <w:t>20</w:t>
            </w:r>
          </w:p>
        </w:tc>
      </w:tr>
      <w:tr w:rsidR="00FD0158" w:rsidRPr="00397877" w:rsidTr="00F30428">
        <w:trPr>
          <w:trHeight w:val="1627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Администратор</w:t>
            </w:r>
            <w:r w:rsidRPr="00397877">
              <w:rPr>
                <w:rFonts w:eastAsia="Arial Unicode MS"/>
                <w:bCs/>
                <w:color w:val="000000"/>
                <w:u w:color="000000"/>
                <w:lang w:val="en-US"/>
              </w:rPr>
              <w:t xml:space="preserve"> </w:t>
            </w:r>
            <w:r w:rsidRPr="00397877">
              <w:rPr>
                <w:rFonts w:eastAsia="Calibri"/>
              </w:rPr>
              <w:t>регионального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  <w:r w:rsidRPr="00397877">
              <w:t>Шулдикова Е.А.</w:t>
            </w: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rPr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jc w:val="center"/>
            </w:pPr>
            <w:r w:rsidRPr="00397877">
              <w:t>консультант отдела межведомственной координации вопросов демографической и семейной политики Депсоцразвития Югры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  <w:r w:rsidRPr="00397877">
              <w:t>Давиденко С.А., директор Депсоцразвития Югры</w:t>
            </w: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40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rPr>
                <w:strike/>
                <w:lang w:val="en-US"/>
              </w:rPr>
            </w:pP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Общие организационные мероприятия по региональному проекту 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ind w:right="-156"/>
              <w:jc w:val="center"/>
            </w:pPr>
            <w:r w:rsidRPr="00397877">
              <w:t>Добровольский А.А.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директор Депздрав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Кольцов В.С.,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5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Конух С.Е.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(далее – Депспорт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strike/>
              </w:rPr>
            </w:pPr>
            <w:r w:rsidRPr="00397877">
              <w:rPr>
                <w:bCs/>
              </w:rPr>
              <w:t>Южаков Ю.А.,</w:t>
            </w:r>
            <w:r w:rsidRPr="00397877">
              <w:t xml:space="preserve"> </w:t>
            </w:r>
            <w:r w:rsidRPr="00397877">
              <w:rPr>
                <w:bCs/>
              </w:rPr>
              <w:t>заместитель Губернатора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Касьянова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заместитель директора – начальник управления организации медицинской помощи Депздрав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директор Депздрав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Солоневич М.А.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начальник отдела профессионального искусства и народного творчества Департамента </w:t>
            </w:r>
            <w:r w:rsidRPr="00397877">
              <w:lastRenderedPageBreak/>
              <w:t xml:space="preserve">культуры Ханты-Мансийского автономного округа – Югры 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(далее – Депкультуры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>Казначеева Н.М., директор Депкультуры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Куликов Д.В.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начальник отдела молодежной политики Департамента образования и молодежной политики Ханты-Мансийского автономного округа – Югры  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(далее – Депобразования и молодежи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Дренин А.А., директор Депобразования и молодежи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Лисютина И.Б.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  <w:rPr>
                <w:strike/>
              </w:rPr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заместитель начальника Управления по обеспечению гражданских инициатив – начальник отдела по работе с институтами гражданского общества и поддержке инициатив по развитию общественных отношений Департамента общественных и внешних связей Ханты-Мансийского автономного округа – Югры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 (далее – Депобщественных и внешних связей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Репин К.С., первый заместитель директора Депобщественных и внешних связей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Зюбин А.А.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начальник отдела экономики на транспорте Департамента дорожного хозяйства и транспорта Ханты-Мансийского автономного округа – Югры (далее – Депдорхоз и транспорта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Гребешок К.С., директор Депдорхоз и транспорта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Миллер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 xml:space="preserve">начальник отдела развития потребительского рынка Департамента экономического развития Ханты-Мансийского </w:t>
            </w:r>
            <w:r w:rsidRPr="00397877">
              <w:lastRenderedPageBreak/>
              <w:t>автономного округа –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 xml:space="preserve">Милькис Н.А., директор Департамента экономического развития – заместитель </w:t>
            </w:r>
            <w:r w:rsidRPr="00397877">
              <w:lastRenderedPageBreak/>
              <w:t>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12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Пальчиков Н.Н.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глава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Сурцев Б.Ф.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глава города Лангепаса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Дейнека О.А.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Мегиона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Дегтярёв С.Ю.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Нефтеюганска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Тихонов В.В.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Нижневартовска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</w:t>
            </w:r>
            <w:r w:rsidRPr="00397877">
              <w:rPr>
                <w:color w:val="000000"/>
              </w:rPr>
              <w:lastRenderedPageBreak/>
              <w:t>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17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Ямашев И.П.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Нягани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Морозов А.Н.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и.о. главы города Пыть-Ях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Шувалов В.Н.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Сургута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Иванов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Урай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Ряшин М.П.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Ханты-Мансийска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</w:t>
            </w:r>
            <w:r w:rsidRPr="00397877">
              <w:rPr>
                <w:color w:val="000000"/>
              </w:rPr>
              <w:lastRenderedPageBreak/>
              <w:t>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2</w:t>
            </w:r>
            <w:r w:rsidRPr="00397877">
              <w:rPr>
                <w:rFonts w:eastAsia="Calibri"/>
                <w:lang w:val="en-US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Фомин В.И.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Березовского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Дубовик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Кондинского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Лапковская Г.В.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Нефтеюганского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Набатов И.А.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Советского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Трубецкой А.А.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Сургутского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2</w:t>
            </w:r>
            <w:r w:rsidRPr="00397877">
              <w:rPr>
                <w:rFonts w:eastAsia="Calibri"/>
                <w:lang w:val="en-US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Бородкин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города Югорска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Маненков С.П.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Белоярского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Гулина Н.А.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и.о. главы города Радужный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Степура В.И.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города Покачи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Саломатин Б.А.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Нижневартовского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 xml:space="preserve">Участник регионального </w:t>
            </w:r>
            <w:r w:rsidRPr="00397877">
              <w:rPr>
                <w:rFonts w:eastAsia="Calibri"/>
              </w:rPr>
              <w:lastRenderedPageBreak/>
              <w:t>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lastRenderedPageBreak/>
              <w:t>Куташова А.П.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Октябрьского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</w:t>
            </w:r>
            <w:r w:rsidRPr="00397877">
              <w:rPr>
                <w:color w:val="000000"/>
              </w:rPr>
              <w:lastRenderedPageBreak/>
              <w:t>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lastRenderedPageBreak/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33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Минулин К.Р.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rPr>
          <w:trHeight w:val="751"/>
        </w:trPr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директор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Касьянова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заместитель директора – начальник управления организации медицинской помощи Депздрав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директор Депздрав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Котов А.М.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отдела цифровых технологий социальной сферы управления развития цифровых технологий Департамента информационных технологий и цифрового развития Ханты-Мансийского автономного округа – Югры (далее – Депинформтехнологий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ind w:right="-108"/>
              <w:jc w:val="center"/>
            </w:pPr>
            <w:r w:rsidRPr="00397877">
              <w:t>Ципорин П.И., директор Депинформтехнологий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lastRenderedPageBreak/>
              <w:t>38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директор Депсоцразвития Югры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i/>
              </w:rPr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</w:pPr>
            <w:r w:rsidRPr="00397877"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Варлаков А.П.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директор Департамента труда и занятости населения Ханты-Мансийского автономного округа – Югры (далее – Дептруда и занятости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Бухтин Г.Ф., первый заместитель 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20</w:t>
            </w:r>
          </w:p>
        </w:tc>
      </w:tr>
      <w:tr w:rsidR="00FD0158" w:rsidRPr="00397877" w:rsidTr="00F30428">
        <w:trPr>
          <w:trHeight w:val="652"/>
        </w:trPr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Участник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Титорова Е.И.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начальник Управления занятости населения 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Варлаков А.П., директор Дептруда и занятости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Участник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Канюкова Н. 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начальник отдела профессиональной ориентации и профессионального обучения Управления занятости населения Дептруда и занятости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Титорова Е.И, начальник Управления занятости населения Дептруда и занятости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10</w:t>
            </w:r>
          </w:p>
        </w:tc>
      </w:tr>
    </w:tbl>
    <w:p w:rsidR="00FD0158" w:rsidRPr="00397877" w:rsidRDefault="00FD0158" w:rsidP="00FD0158"/>
    <w:p w:rsidR="00FD0158" w:rsidRPr="00397877" w:rsidRDefault="00FD0158" w:rsidP="00FD0158"/>
    <w:p w:rsidR="00FD0158" w:rsidRPr="00397877" w:rsidRDefault="00FD0158" w:rsidP="00FD0158">
      <w:pPr>
        <w:pageBreakBefore/>
        <w:spacing w:after="200" w:line="276" w:lineRule="auto"/>
        <w:jc w:val="right"/>
      </w:pPr>
      <w:r w:rsidRPr="00397877">
        <w:lastRenderedPageBreak/>
        <w:t>ПРИЛОЖЕНИЕ 1</w:t>
      </w:r>
      <w:r w:rsidRPr="00397877">
        <w:br/>
        <w:t>к паспорту регионального проекта «Старшее поколение»</w:t>
      </w:r>
    </w:p>
    <w:p w:rsidR="00FD0158" w:rsidRPr="00397877" w:rsidRDefault="00FD0158" w:rsidP="00FD0158">
      <w:pPr>
        <w:spacing w:after="200" w:line="276" w:lineRule="auto"/>
        <w:ind w:left="720"/>
        <w:jc w:val="center"/>
        <w:rPr>
          <w:b/>
        </w:rPr>
      </w:pPr>
    </w:p>
    <w:p w:rsidR="00FD0158" w:rsidRPr="00397877" w:rsidRDefault="00FD0158" w:rsidP="00FD0158">
      <w:pPr>
        <w:spacing w:after="200" w:line="276" w:lineRule="auto"/>
        <w:ind w:left="720"/>
        <w:jc w:val="center"/>
        <w:rPr>
          <w:b/>
        </w:rPr>
      </w:pPr>
      <w:r w:rsidRPr="00397877">
        <w:rPr>
          <w:b/>
        </w:rPr>
        <w:t>План мероприятий по реализации проекта Ханты-Мансийского автономного округа - Югры</w:t>
      </w:r>
    </w:p>
    <w:tbl>
      <w:tblPr>
        <w:tblW w:w="519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4869"/>
        <w:gridCol w:w="1449"/>
        <w:gridCol w:w="1592"/>
        <w:gridCol w:w="2748"/>
        <w:gridCol w:w="2470"/>
        <w:gridCol w:w="1179"/>
      </w:tblGrid>
      <w:tr w:rsidR="00FD0158" w:rsidRPr="00397877" w:rsidTr="00F30428">
        <w:trPr>
          <w:trHeight w:val="54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№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Наименование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результата, мероприятия,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контрольной точки</w:t>
            </w:r>
          </w:p>
        </w:tc>
        <w:tc>
          <w:tcPr>
            <w:tcW w:w="2923" w:type="dxa"/>
            <w:gridSpan w:val="2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Сроки реализации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ind w:left="-57" w:right="-28"/>
              <w:jc w:val="center"/>
            </w:pPr>
            <w:r w:rsidRPr="00397877">
              <w:t>Ответственный исполнитель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Вид документа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и характеристика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результата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Уровень контроля</w:t>
            </w:r>
          </w:p>
        </w:tc>
      </w:tr>
      <w:tr w:rsidR="00FD0158" w:rsidRPr="00397877" w:rsidTr="00F30428">
        <w:trPr>
          <w:trHeight w:val="43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  <w:tc>
          <w:tcPr>
            <w:tcW w:w="4680" w:type="dxa"/>
            <w:vMerge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Начало</w:t>
            </w:r>
          </w:p>
        </w:tc>
        <w:tc>
          <w:tcPr>
            <w:tcW w:w="1530" w:type="dxa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Окончание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ind w:left="-57" w:right="-28"/>
              <w:jc w:val="center"/>
              <w:rPr>
                <w:highlight w:val="yellow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rPr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  <w:tc>
          <w:tcPr>
            <w:tcW w:w="13751" w:type="dxa"/>
            <w:gridSpan w:val="6"/>
            <w:shd w:val="clear" w:color="auto" w:fill="auto"/>
          </w:tcPr>
          <w:p w:rsidR="00FD0158" w:rsidRPr="00397877" w:rsidRDefault="00FD0158" w:rsidP="00F30428">
            <w:pPr>
              <w:ind w:left="85" w:right="-28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strike/>
              </w:rPr>
            </w:pPr>
            <w:r w:rsidRPr="00397877">
              <w:rPr>
                <w:rFonts w:eastAsia="Arial Unicode MS"/>
              </w:rPr>
              <w:t xml:space="preserve">В целях систематизации мер поддержки и мер, направленных на повышение качества жизни граждан старшего поколения, проведен анализ </w:t>
            </w:r>
            <w:r w:rsidRPr="00397877">
              <w:rPr>
                <w:rFonts w:eastAsia="Arial Unicode MS"/>
                <w:bCs/>
                <w:u w:color="000000"/>
              </w:rPr>
              <w:t>эффективности</w:t>
            </w:r>
            <w:r w:rsidRPr="00397877">
              <w:rPr>
                <w:rFonts w:eastAsia="Arial Unicode MS"/>
              </w:rPr>
              <w:t xml:space="preserve"> действующих </w:t>
            </w:r>
            <w:r w:rsidRPr="00397877">
              <w:t xml:space="preserve">государственных и 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</w:t>
            </w:r>
            <w:r w:rsidRPr="00397877">
              <w:rPr>
                <w:rFonts w:eastAsia="Arial Unicode MS"/>
                <w:bCs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strike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Депкультуры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Варлаков А.П., директор Дептруда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Дренин А.А., директор Депобразования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Репин К.С., первый заместитель директора </w:t>
            </w:r>
            <w:r w:rsidRPr="00397877">
              <w:lastRenderedPageBreak/>
              <w:t>Депобщественных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Гребешок К.С., директор Депдорхоз и транспорта Югры, Милькис Н.А., директор Департамента экономического развития – заместитель Губернатора Ханты-Мансийского автономного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 xml:space="preserve">Аналитическая справка, размещенная на официальном сайте Депсоцразвития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rPr>
          <w:trHeight w:val="1131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Мероприятие:</w:t>
            </w:r>
          </w:p>
          <w:p w:rsidR="00FD0158" w:rsidRPr="00397877" w:rsidRDefault="00FD0158" w:rsidP="00F30428">
            <w:pPr>
              <w:ind w:firstLine="284"/>
            </w:pPr>
            <w:r w:rsidRPr="00397877">
              <w:t>В действующих государственных и муниципальных программах автономного округа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мероприятий, которые включают, в том числе мероприятия:</w:t>
            </w:r>
          </w:p>
          <w:p w:rsidR="00FD0158" w:rsidRPr="00397877" w:rsidRDefault="00FD0158" w:rsidP="00F30428">
            <w:pPr>
              <w:ind w:firstLine="227"/>
            </w:pPr>
            <w:r w:rsidRPr="00397877">
              <w:t xml:space="preserve">организация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</w:t>
            </w:r>
            <w:r w:rsidRPr="00397877">
              <w:lastRenderedPageBreak/>
              <w:t>обслуживания (за счет финансирования на исполнение государственного задания) и медицинских организаций, в том числе специализированных секциях и группах для граждан пожилого возраста;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вовлечение в культурную жизнь общества;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профессиональное обучение и дополнительное профессиональное  образование  незанятых граждан предпенсионного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совершенствование системы охраны здоровья граждан старшего поколения;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развитие гериатрической службы и системы оценки потребности в уходе;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lastRenderedPageBreak/>
              <w:t>обеспечение приспособленности парка общественного транспорта к потребностям маломобильных групп населения;</w:t>
            </w:r>
          </w:p>
          <w:p w:rsidR="00FD0158" w:rsidRPr="00397877" w:rsidRDefault="00FD0158" w:rsidP="00F30428">
            <w:pPr>
              <w:ind w:firstLine="255"/>
            </w:pPr>
            <w:r w:rsidRPr="00397877">
              <w:t>развитие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проведение информационной кампании посредством муниципальных и региональных средств массовой информации, 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Депкультуры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r w:rsidRPr="00397877">
              <w:lastRenderedPageBreak/>
              <w:t>Дептруда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Дренин А.А., директор Депобразования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Репин К.С., первый заместитель директора Депобщественных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Гребешок К.С., директор Депдорхоз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и транспорта Югры, Милькис Н.А., директор Департамента экономического развития – заместитель Губернатора Ханты-Мансийского автономного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Постановления Правительства Ханты-Мансийского автономного         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постановления  администраций органов местного самоуправления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iCs/>
                <w:color w:val="000000"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 xml:space="preserve">Осуществлен анализ мероприятий государственных и муниципальных программ автономного округа,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strike/>
              </w:rPr>
            </w:pPr>
            <w:r w:rsidRPr="00397877">
              <w:rPr>
                <w:rFonts w:eastAsia="Arial Unicode MS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Депздрав </w:t>
            </w:r>
            <w:r w:rsidRPr="00397877">
              <w:lastRenderedPageBreak/>
              <w:t>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Депкультуры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Варлаков А.П., директор Дептруда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Дренин А.А., директор Депобразования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Репин К.С., первый заместитель директора Депобщественных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Гребешок К.С., директор Депдорхоза и транспорта Югры, Милькис Н.А., директор Депэкономики Югры,</w:t>
            </w:r>
          </w:p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органы местного самоуправления</w:t>
            </w:r>
          </w:p>
          <w:p w:rsidR="00FD0158" w:rsidRPr="00397877" w:rsidRDefault="00FD0158" w:rsidP="00F30428">
            <w:pPr>
              <w:jc w:val="center"/>
              <w:rPr>
                <w:lang w:val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Информация в Минтруд России,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Минздрав России, Минспорт России,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результаты анализа уровня обеспеченности населения Югры услугами розничной торговли, в том числе торговыми объектами шаговой доступности (размещаются до 1 апреля года </w:t>
            </w:r>
            <w:r w:rsidRPr="00397877">
              <w:lastRenderedPageBreak/>
              <w:t>следующего за отчетным и доступна на сайте Депэкономики Югры)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lastRenderedPageBreak/>
              <w:t>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FD0158" w:rsidRPr="00397877" w:rsidRDefault="00FD0158" w:rsidP="00F30428">
            <w:r w:rsidRPr="00397877">
              <w:t>в 2019 году не менее 23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2020 году – не менее 28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 xml:space="preserve">в 2021 году – не менее 34 процентов лиц </w:t>
            </w:r>
            <w:r w:rsidRPr="00397877">
              <w:lastRenderedPageBreak/>
              <w:t>старше трудоспособного возраста;</w:t>
            </w:r>
          </w:p>
          <w:p w:rsidR="00FD0158" w:rsidRPr="00397877" w:rsidRDefault="00FD0158" w:rsidP="00F30428">
            <w:r w:rsidRPr="00397877">
              <w:t>в 2022 году – не менее 55,7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2023 году – не менее 65,3 процентов лиц старше трудоспособного возраста;</w:t>
            </w:r>
          </w:p>
          <w:p w:rsidR="00FD0158" w:rsidRPr="00397877" w:rsidRDefault="00FD0158" w:rsidP="00F30428">
            <w:pPr>
              <w:rPr>
                <w:highlight w:val="yellow"/>
              </w:rPr>
            </w:pPr>
            <w:r w:rsidRPr="00397877">
              <w:t>в 2024 году – не менее 70 процентов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1.2.3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2020 году не менее 28процентов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10.12.2020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2021 году не менее 34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</w:t>
            </w:r>
            <w:r w:rsidRPr="00397877">
              <w:lastRenderedPageBreak/>
              <w:t>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10.12.2021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2022 году не менее 55,7 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2023 году не менее 65,3 процента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1.2.15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2024 году не менее 70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Депздрав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справка,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Осуществляется диспансерное наблюдение </w:t>
            </w:r>
            <w:r w:rsidRPr="00397877">
              <w:lastRenderedPageBreak/>
              <w:t>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размещенная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</w:t>
            </w:r>
            <w:r w:rsidRPr="00397877">
              <w:lastRenderedPageBreak/>
              <w:t xml:space="preserve">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1.3.6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lastRenderedPageBreak/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</w:t>
            </w:r>
            <w:r w:rsidRPr="00397877">
              <w:lastRenderedPageBreak/>
              <w:t>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1.3.11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31.01.2025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 xml:space="preserve">В 1 муниципальном образовании автономного округа создано  геронтологическое отделение, </w:t>
            </w:r>
            <w:r w:rsidRPr="00397877">
              <w:lastRenderedPageBreak/>
              <w:t>в котором помощь получена не менее 600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Осуществление  мониторинга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1 муниципальном образовании автономного округа создано  геронтологическое отделение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Разработаны и 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1.5.1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Разработаны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 xml:space="preserve">Не менее 95 % граждан старше трудоспособного возраста из групп риска </w:t>
            </w:r>
            <w:r w:rsidRPr="00397877">
              <w:lastRenderedPageBreak/>
              <w:t>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справка, размещенная на официальном сайте </w:t>
            </w:r>
            <w:r w:rsidRPr="00397877">
              <w:lastRenderedPageBreak/>
              <w:t>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1.6.1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Депздравом Югры  проводятся конкурсные процедуры и закупка вакцины в медицинские организации, осуществление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rPr>
          <w:trHeight w:val="1898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 xml:space="preserve">Заключены соглашения  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Соглашение о предоставлении иного межбюджетного трансферта из федерального бюджета бюджетам субъектов </w:t>
            </w:r>
            <w:r w:rsidRPr="00397877">
              <w:lastRenderedPageBreak/>
              <w:t>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1.6.5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 </w:t>
            </w:r>
          </w:p>
          <w:p w:rsidR="00FD0158" w:rsidRPr="00397877" w:rsidRDefault="00FD0158" w:rsidP="00F30428">
            <w:r w:rsidRPr="00397877">
              <w:t>В 2020-2024 гг. проведены дополнительные скрининги лиц старше  65 лет, проживающих в сельской местности, на выявления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справка,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Осуществляется проведение дополнительных скринингов лицам старше  65 лет, </w:t>
            </w:r>
            <w:r w:rsidRPr="00397877">
              <w:lastRenderedPageBreak/>
              <w:t>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отделения, в которых помощь получена не менее 1200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 </w:t>
            </w:r>
          </w:p>
          <w:p w:rsidR="00FD0158" w:rsidRPr="00397877" w:rsidRDefault="00FD0158" w:rsidP="00F30428">
            <w:pPr>
              <w:contextualSpacing/>
            </w:pPr>
            <w:r w:rsidRPr="00397877"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 и  гериатрический центр,  в которых помощь получена не менее 1800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 </w:t>
            </w:r>
          </w:p>
          <w:p w:rsidR="00FD0158" w:rsidRPr="00397877" w:rsidRDefault="00FD0158" w:rsidP="00F30428">
            <w:pPr>
              <w:contextualSpacing/>
            </w:pPr>
            <w:r w:rsidRPr="00397877"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Депздрав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 и  гериатрический центр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На территории автономного округа  функционирует региональный гериатрический центр и геронтологические отделения, в которых помощь получили не  граждан старше трудоспособного возраста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30.06.2024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t>1.11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 xml:space="preserve">В целях осуществления доставки в </w:t>
            </w:r>
            <w:r w:rsidRPr="00397877">
              <w:lastRenderedPageBreak/>
              <w:t>медицинские организации лиц старше 65 лет, проживающих в сельской местности, приобретение автотранспорта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первый заместитель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lastRenderedPageBreak/>
              <w:t>Аналитическая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справка, размещенная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на официальном сайте Депсоцразвития Югры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1.11.1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Проведение конкурсных процедур и закупка автотранспорта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Государственный контракт, акт приема-передачи товара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t>1.11.2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Разработка и утверждение приказа по распределению автотранспорта в организации социального обслуживания 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1.11.3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Закуплен автотранспорт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 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Письмо в Минтруд России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 xml:space="preserve">: </w:t>
            </w:r>
            <w:r w:rsidRPr="00397877">
              <w:rPr>
                <w:rFonts w:eastAsia="Arial Unicode MS"/>
                <w:bCs/>
                <w:u w:color="000000"/>
              </w:rPr>
              <w:t xml:space="preserve"> 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Проведены дополнительные скрининги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справка, размещенная на официальном сайте Депздрав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Проведение дополнительных скринингов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r w:rsidRPr="00397877">
              <w:t xml:space="preserve">Проведение окружных комплексных физкультурных и спортивно-массовых мероприятий среди граждан старшего поколения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ind w:firstLine="29"/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ind w:firstLine="29"/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ind w:firstLine="29"/>
              <w:jc w:val="center"/>
            </w:pPr>
            <w:r w:rsidRPr="00397877">
              <w:t>Радченко В.М., директор автономного учреждения Ханты-Мансийского автономного округа - Югры «ЮграМегаСпорт» (далее – ЮграМегаСпорт)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lightGray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lightGray"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97877">
              <w:rPr>
                <w:rFonts w:cs="Times New Roman"/>
                <w:color w:val="000000"/>
                <w:sz w:val="24"/>
                <w:szCs w:val="24"/>
              </w:rPr>
              <w:t xml:space="preserve">Конух С.Е., 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Fonts w:cs="Times New Roman"/>
                <w:color w:val="000000"/>
                <w:sz w:val="24"/>
                <w:szCs w:val="24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,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pStyle w:val="210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Письмо Депспорт Югры в Минспорт России,</w:t>
            </w: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 xml:space="preserve"> аналитическая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справка, размещенная на сайте Депспорт Югры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iCs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lastRenderedPageBreak/>
              <w:t>Проведение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  <w:r w:rsidRPr="00397877"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lastRenderedPageBreak/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Радченко В.М., директор  ЮграМегаСпорт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lastRenderedPageBreak/>
              <w:t xml:space="preserve">Отчет </w:t>
            </w:r>
            <w:r w:rsidRPr="00397877">
              <w:t>организатора</w:t>
            </w:r>
            <w:r w:rsidRPr="00397877">
              <w:rPr>
                <w:rFonts w:eastAsia="Arial Unicode MS"/>
              </w:rPr>
              <w:t xml:space="preserve"> о </w:t>
            </w:r>
            <w:r w:rsidRPr="00397877">
              <w:rPr>
                <w:rFonts w:eastAsia="Arial Unicode MS"/>
              </w:rPr>
              <w:lastRenderedPageBreak/>
              <w:t>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Конух С.Е., </w:t>
            </w:r>
          </w:p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Письмо Депспорт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Проведение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  <w:r w:rsidRPr="00397877"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Радченко В.М., директор  </w:t>
            </w:r>
            <w:r w:rsidRPr="00397877">
              <w:lastRenderedPageBreak/>
              <w:t>ЮграМегаСпорт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lastRenderedPageBreak/>
              <w:t xml:space="preserve">Отчет </w:t>
            </w:r>
            <w:r w:rsidRPr="00397877">
              <w:t>организатора</w:t>
            </w:r>
            <w:r w:rsidRPr="00397877">
              <w:rPr>
                <w:rFonts w:eastAsia="Arial Unicode MS"/>
              </w:rPr>
              <w:t xml:space="preserve"> о проведении мероприятий в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>Конух С.Е.,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397877"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  <w:r w:rsidRPr="00397877">
              <w:rPr>
                <w:rFonts w:eastAsia="Arial Unicode MS"/>
              </w:rPr>
              <w:t xml:space="preserve"> и направлена информация в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Минспорт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Письмо Депспорт Югры,</w:t>
            </w:r>
            <w:r w:rsidRPr="00397877">
              <w:t xml:space="preserve"> 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справка, размещенная на сайте Депспорт Югры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1.18.1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sz w:val="24"/>
                <w:szCs w:val="24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 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lightGray"/>
                <w:lang w:val="en-US"/>
              </w:rPr>
            </w:pPr>
            <w:r w:rsidRPr="00397877">
              <w:t>1.19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органы местного </w:t>
            </w:r>
            <w:r w:rsidRPr="00397877">
              <w:lastRenderedPageBreak/>
              <w:t>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Письмо Депспорт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1.19.1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Минспорт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Письмо Депспорт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1.20.1.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>заместитель 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справка, размещенная на сайте Депспорт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rPr>
          <w:trHeight w:val="696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t>2</w:t>
            </w:r>
          </w:p>
        </w:tc>
      </w:tr>
      <w:tr w:rsidR="00FD0158" w:rsidRPr="00397877" w:rsidTr="00F30428">
        <w:trPr>
          <w:trHeight w:val="42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1.21.1.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70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 xml:space="preserve">За 2021 год обеспечено не менее 100 демонстраций рекламно-информационных материалов по телевидению, радио и в </w:t>
            </w:r>
            <w:r w:rsidRPr="00397877">
              <w:rPr>
                <w:rStyle w:val="212pt"/>
                <w:rFonts w:eastAsiaTheme="minorHAnsi"/>
              </w:rPr>
              <w:lastRenderedPageBreak/>
              <w:t>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Депобщественных и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Аналитическая справка, размещенная на официальном сайте Депобщественных и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lastRenderedPageBreak/>
              <w:t>3</w:t>
            </w:r>
          </w:p>
        </w:tc>
      </w:tr>
      <w:tr w:rsidR="00FD0158" w:rsidRPr="00397877" w:rsidTr="00F30428">
        <w:trPr>
          <w:trHeight w:val="42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1.23.2.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69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1.25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2023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1.25.2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41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2024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278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lastRenderedPageBreak/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Репин К.С.,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lastRenderedPageBreak/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Аналитическая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справка, размещенная на официальном сайте Депобщественных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lastRenderedPageBreak/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lastRenderedPageBreak/>
              <w:t>2.</w:t>
            </w:r>
          </w:p>
        </w:tc>
        <w:tc>
          <w:tcPr>
            <w:tcW w:w="13751" w:type="dxa"/>
            <w:gridSpan w:val="6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  <w:vertAlign w:val="superscript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Соисполнитель: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Утвержденный порядок </w:t>
            </w:r>
            <w:r w:rsidRPr="00397877">
              <w:rPr>
                <w:rStyle w:val="22"/>
                <w:color w:val="000000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Создание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Проведение заседаний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Разработка проекта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Проект порядка </w:t>
            </w:r>
            <w:r w:rsidRPr="00397877">
              <w:rPr>
                <w:rStyle w:val="22"/>
                <w:color w:val="000000"/>
              </w:rPr>
              <w:t xml:space="preserve">выявления граждан, нуждающихся в предоставлении социальных и </w:t>
            </w:r>
            <w:r w:rsidRPr="00397877">
              <w:rPr>
                <w:rStyle w:val="22"/>
                <w:color w:val="000000"/>
              </w:rPr>
              <w:lastRenderedPageBreak/>
              <w:t>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2.1.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Разработан и утвержден порядок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Межведомственный приказ Депсоцразвития Югры, Депздрав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о порядке 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Утвержденный перечень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Создание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</w:t>
            </w:r>
            <w:r w:rsidRPr="00397877">
              <w:rPr>
                <w:rStyle w:val="22"/>
                <w:color w:val="000000"/>
              </w:rPr>
              <w:lastRenderedPageBreak/>
              <w:t>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Проведение заседаний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Разработка проекта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Разработаны и утверждены критерии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</w:t>
            </w:r>
            <w:r w:rsidRPr="00397877">
              <w:rPr>
                <w:rStyle w:val="22"/>
                <w:color w:val="000000"/>
              </w:rPr>
              <w:lastRenderedPageBreak/>
              <w:t>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-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Межведомственный приказ Депсоцразвития Югры, Депздрав Югры о </w:t>
            </w:r>
            <w:r w:rsidRPr="00397877">
              <w:rPr>
                <w:rStyle w:val="22"/>
                <w:color w:val="000000"/>
              </w:rPr>
              <w:t xml:space="preserve">критериях оценки обстоятельств, ухудшающих условия </w:t>
            </w:r>
            <w:r w:rsidRPr="00397877">
              <w:rPr>
                <w:rStyle w:val="22"/>
                <w:color w:val="000000"/>
              </w:rPr>
              <w:lastRenderedPageBreak/>
              <w:t>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Применение при организации социального обслуживания  стационарозамещающих технологий, выездных</w:t>
            </w:r>
            <w:r w:rsidRPr="00397877">
              <w:t xml:space="preserve"> </w:t>
            </w:r>
            <w:r w:rsidRPr="00397877">
              <w:rPr>
                <w:rFonts w:eastAsia="Arial Unicode MS"/>
                <w:bCs/>
                <w:color w:val="000000"/>
              </w:rPr>
              <w:t xml:space="preserve">форм обслуживания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Предоставление социальных услуг не менее 150 гражданам на основании договора о приемной семье для пожилого гражданина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Предоставление услуг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</w:t>
            </w:r>
            <w:r w:rsidRPr="00397877">
              <w:rPr>
                <w:lang w:val="en-US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Предоставление социальных услуг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lastRenderedPageBreak/>
              <w:t>Участие в предоставлении социальных услуг не менее 24 мобильных бригад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lastRenderedPageBreak/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lastRenderedPageBreak/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Форма федерального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статистического наблюдения 6-собес (сводная) в Минтруд России ежегодно до 25 февраля после отчетного периода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2.3.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Открытие на базе комплексного  центра социального обслуживания населения 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проекта положения о технологии «Передышка»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положения 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color w:val="000000"/>
              </w:rPr>
            </w:pPr>
            <w:r w:rsidRPr="00397877">
              <w:rPr>
                <w:color w:val="000000"/>
              </w:rPr>
              <w:t xml:space="preserve">Внесение изменений в структуру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комплексного  центра социального обслуживания населения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внесении изменений в структуру и штатную численность учреждения, подведомственного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Разработка проекта порядка организации работы по предоставлению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инвалидам с психическими расстройствами </w:t>
            </w:r>
            <w:r w:rsidRPr="00397877">
              <w:rPr>
                <w:rStyle w:val="22"/>
                <w:color w:val="000000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31.10.2019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 xml:space="preserve">Проект порядка организации работы по предоставлению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инвалидам с психическими расстройствами </w:t>
            </w:r>
            <w:r w:rsidRPr="00397877">
              <w:rPr>
                <w:rStyle w:val="22"/>
                <w:color w:val="000000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  <w:highlight w:val="red"/>
              </w:rPr>
            </w:pPr>
            <w:r w:rsidRPr="00397877">
              <w:rPr>
                <w:rStyle w:val="22"/>
                <w:color w:val="000000"/>
              </w:rPr>
              <w:t xml:space="preserve">Открыто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социально-реабилитационное отделение для инвалидов с психическими расстройствами на базе комплексного  центра социального обслуживания населения 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об организации работы по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  <w:u w:val="single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Внедрение в пилотной стационарной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организации социального обслуживания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</w:t>
            </w:r>
            <w:r w:rsidRPr="00397877">
              <w:lastRenderedPageBreak/>
              <w:t xml:space="preserve">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проекта положения о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положения о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Определение пилотной стационарной организации социального обслуживания для внедрения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  <w:lang w:val="en-US"/>
              </w:rPr>
            </w:pPr>
            <w:r w:rsidRPr="00397877">
              <w:t>2.5.</w:t>
            </w:r>
            <w:r w:rsidRPr="00397877">
              <w:rPr>
                <w:lang w:val="en-US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 пилотной стационарной организации социального обслуживания внедрена технология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внедрении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Style w:val="22"/>
                <w:color w:val="000000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 П.И., директор Депинформтехноло-гий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Региональная информационная система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 xml:space="preserve">Определение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 П.И., директор Депинформтехнологий Югры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Постановление Правительства Ханты-Мансийского автономного округа – Югры, информация в Минтруд России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2.6.</w:t>
            </w:r>
            <w:r w:rsidRPr="00397877">
              <w:rPr>
                <w:lang w:val="en-US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Внедрена </w:t>
            </w:r>
            <w:r w:rsidRPr="00397877">
              <w:rPr>
                <w:rStyle w:val="22"/>
                <w:color w:val="000000"/>
              </w:rPr>
              <w:t>информационная система,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Ципорин П.И., директор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Депинформтехноло-гий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Отчетная информация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2.</w:t>
            </w:r>
            <w:r w:rsidRPr="00397877">
              <w:rPr>
                <w:lang w:val="en-US"/>
              </w:rPr>
              <w:t>6</w:t>
            </w:r>
            <w:r w:rsidRPr="00397877">
              <w:t>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Добровольский А.А., директор Депздрав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 П.И., директор Депинформтехноло-гий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долговременного ухода за гражданами пожилого возраста и инвалидами Ханты-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Мансийского автономного округа –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2.7.1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 xml:space="preserve">Разработка проекта регионального плана мероприятий («дорожной карты») по созданию и внедрению системы долговременного ухода в соответствии с утвержденными Минтрудом России требованиями к межведомственным региональным планам мероприятий («дорожным картам») по созданию системы долговременного ухода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30.09.2021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Добровольский А.А., директор Депздрав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 П.И., директор Депинформтехноло-гий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Согласование проекта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strike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Утверждение плана мероприятий («дорожной карты»)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2.7.4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Разработан и утвержден 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strike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Внедрение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 xml:space="preserve">План мероприятий («дорожная карта») по созданию и внедрению системы долговременного ухода в Ханты-Мансийском автономном округе - </w:t>
            </w:r>
            <w:r w:rsidRPr="00397877">
              <w:rPr>
                <w:rFonts w:eastAsia="Arial Unicode MS"/>
                <w:bCs/>
                <w:color w:val="000000"/>
              </w:rPr>
              <w:lastRenderedPageBreak/>
              <w:t>Югре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lastRenderedPageBreak/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>Подготовка предложений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Календарно-тематические планы обучающих мероприятий</w:t>
            </w:r>
          </w:p>
          <w:p w:rsidR="00FD0158" w:rsidRPr="00397877" w:rsidRDefault="00FD0158" w:rsidP="00F30428">
            <w:pPr>
              <w:jc w:val="center"/>
              <w:rPr>
                <w:rStyle w:val="22"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для </w:t>
            </w:r>
            <w:r w:rsidRPr="00397877">
              <w:rPr>
                <w:rStyle w:val="22"/>
                <w:color w:val="000000"/>
              </w:rPr>
              <w:t>работников организаций социального обслуживания,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организаций здравоохранения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lastRenderedPageBreak/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lastRenderedPageBreak/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 xml:space="preserve">Информация в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2.13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о результатах применения стационарозамещающих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Добровольский А.А., директор Депздрав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Проведен анализ предоставления услуг гражданам с применением стационарозамещающих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01.03.2025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стационарозамещающих технологий, выездных форм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  <w:highlight w:val="cyan"/>
                <w:lang w:val="en-US"/>
              </w:rPr>
            </w:pPr>
            <w:r w:rsidRPr="00397877">
              <w:rPr>
                <w:b/>
              </w:rPr>
              <w:lastRenderedPageBreak/>
              <w:t>3</w:t>
            </w: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b/>
                <w:highlight w:val="cyan"/>
              </w:rPr>
            </w:pPr>
            <w:r w:rsidRPr="00397877">
              <w:rPr>
                <w:b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Проведение ремонта стационарных организаций социального обслуживания в целях поддержания их надлежащего состояния и создания условий, приближенных к домашним,  в соответствии с </w:t>
            </w:r>
            <w:r w:rsidRPr="00397877">
              <w:t>государственной программой автономного округа «</w:t>
            </w:r>
            <w:r w:rsidRPr="00397877">
              <w:rPr>
                <w:rFonts w:eastAsia="Arial Unicode MS"/>
                <w:bCs/>
                <w:u w:color="000000"/>
              </w:rPr>
              <w:t>Социальное и демографическое развитие»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Утвержденный 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Определение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Проект приказа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Разработка и утверждение приказа по определению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 xml:space="preserve">с обеспечением 331 гражданина комфортным проживанием, </w:t>
            </w:r>
            <w:r w:rsidRPr="00397877">
              <w:lastRenderedPageBreak/>
              <w:t>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Отчёт о реализации государственной программы автономного округа в </w:t>
            </w:r>
            <w:r w:rsidRPr="00397877">
              <w:rPr>
                <w:rFonts w:eastAsia="Arial Unicode MS"/>
              </w:rPr>
              <w:lastRenderedPageBreak/>
              <w:t>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3.1.4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518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 xml:space="preserve">с обеспечением граждан комфортным проживанием, </w:t>
            </w:r>
            <w:r w:rsidRPr="00397877">
              <w:lastRenderedPageBreak/>
              <w:t>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Отчёт о реализации государственной программы автономного округа в </w:t>
            </w:r>
            <w:r w:rsidRPr="00397877">
              <w:rPr>
                <w:rFonts w:eastAsia="Arial Unicode MS"/>
              </w:rPr>
              <w:lastRenderedPageBreak/>
              <w:t>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Привлечение негосударственных организаций, в том числе социально ориентированных некоммерческих организаций, к оказанию услуг в сфере социального обслуживания 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u w:val="single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отчетности,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активизация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Утверждение плана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Депсоцразвития Югры об утверждении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Оказание финансовой поддержки негосударственным поставщикам социальных услуг, в том числе в виде сертификатов на оплату услуг по постоянному постороннему уходу одиноким гражданам пожилого возраста и инвалидам в частных пансионатах «Резиденция для пожилых»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Государственная программа автономного округа «Социальное и демографическое развитие»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3.2.3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 xml:space="preserve">Доля негосударственных  организаций, в том числе социально ориентированных </w:t>
            </w:r>
            <w:r w:rsidRPr="00397877">
              <w:lastRenderedPageBreak/>
              <w:t>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68%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lastRenderedPageBreak/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3.2.4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69%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3.2.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3.2.8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</w:t>
            </w: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color w:val="FF0000"/>
              </w:rPr>
            </w:pPr>
            <w:r w:rsidRPr="00397877"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t>Обучено не менее 723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Организация профессионального обучения и дополнительного профессионального образования 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lastRenderedPageBreak/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r w:rsidRPr="00397877">
              <w:lastRenderedPageBreak/>
              <w:t xml:space="preserve">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lastRenderedPageBreak/>
              <w:t xml:space="preserve">Аналитическая </w:t>
            </w:r>
            <w:r w:rsidRPr="00397877">
              <w:rPr>
                <w:rFonts w:eastAsia="Arial Unicode MS"/>
              </w:rPr>
              <w:lastRenderedPageBreak/>
              <w:t xml:space="preserve">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lastRenderedPageBreak/>
              <w:t>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Обучено не менее 1446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</w:t>
            </w:r>
            <w:r w:rsidRPr="00397877">
              <w:rPr>
                <w:rFonts w:eastAsia="Arial Unicode MS"/>
              </w:rPr>
              <w:lastRenderedPageBreak/>
              <w:t xml:space="preserve">образования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Обучено не менее 2169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lastRenderedPageBreak/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lastRenderedPageBreak/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r w:rsidRPr="00397877">
              <w:lastRenderedPageBreak/>
              <w:t xml:space="preserve">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lastRenderedPageBreak/>
              <w:t xml:space="preserve">Организация </w:t>
            </w:r>
            <w:r w:rsidRPr="00397877">
              <w:rPr>
                <w:rFonts w:eastAsia="Arial Unicode MS"/>
              </w:rPr>
              <w:lastRenderedPageBreak/>
              <w:t xml:space="preserve">профессионального обучения и дополнительного профессионального образования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Обучено не менее 2 892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</w:t>
            </w:r>
            <w:r w:rsidRPr="00397877">
              <w:rPr>
                <w:rFonts w:eastAsia="Arial Unicode MS"/>
              </w:rPr>
              <w:lastRenderedPageBreak/>
              <w:t>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образования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Обучено не менее 3 615 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профессионального обучения и дополнительного профессионального образования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Обучено не менее 4 338 граждан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 xml:space="preserve">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направлении на 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lastRenderedPageBreak/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4.6.1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Организация мероприятия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профессионального обучения и дополнительного профессионального образования граждан предпенсионного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Осуществлен мониторинг реализации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Дептруда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Дептруда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предпенсионного </w:t>
            </w:r>
            <w:r w:rsidRPr="00397877">
              <w:rPr>
                <w:rFonts w:eastAsia="Arial Unicode MS"/>
                <w:bCs/>
                <w:u w:color="000000"/>
              </w:rPr>
              <w:lastRenderedPageBreak/>
              <w:t>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lastRenderedPageBreak/>
              <w:t>2</w:t>
            </w:r>
          </w:p>
        </w:tc>
      </w:tr>
    </w:tbl>
    <w:p w:rsidR="00FD0158" w:rsidRPr="00397877" w:rsidRDefault="00FD0158" w:rsidP="00FD0158">
      <w:pPr>
        <w:rPr>
          <w:lang w:val="en-US"/>
        </w:rPr>
      </w:pPr>
    </w:p>
    <w:p w:rsidR="00FD0158" w:rsidRPr="00397877" w:rsidRDefault="00FD0158" w:rsidP="00FD0158">
      <w:pPr>
        <w:jc w:val="right"/>
      </w:pPr>
    </w:p>
    <w:p w:rsidR="00FD0158" w:rsidRPr="00397877" w:rsidRDefault="00FD0158" w:rsidP="00FD0158">
      <w:pPr>
        <w:pStyle w:val="a3"/>
        <w:keepNext/>
        <w:widowControl w:val="0"/>
        <w:numPr>
          <w:ilvl w:val="0"/>
          <w:numId w:val="9"/>
        </w:numPr>
        <w:shd w:val="clear" w:color="auto" w:fill="FFFFFF"/>
        <w:suppressAutoHyphens/>
        <w:jc w:val="center"/>
        <w:rPr>
          <w:b/>
        </w:rPr>
      </w:pPr>
      <w:r w:rsidRPr="00397877">
        <w:rPr>
          <w:b/>
        </w:rPr>
        <w:t>Дополнительная информация</w:t>
      </w:r>
    </w:p>
    <w:p w:rsidR="00FD0158" w:rsidRPr="00397877" w:rsidRDefault="00FD0158" w:rsidP="00FD0158">
      <w:pPr>
        <w:pStyle w:val="a3"/>
        <w:keepNext/>
        <w:widowControl w:val="0"/>
        <w:shd w:val="clear" w:color="auto" w:fill="FFFFFF"/>
        <w:suppressAutoHyphens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6"/>
      </w:tblGrid>
      <w:tr w:rsidR="00FD0158" w:rsidRPr="00397877" w:rsidTr="00F30428">
        <w:tc>
          <w:tcPr>
            <w:tcW w:w="15026" w:type="dxa"/>
            <w:shd w:val="clear" w:color="auto" w:fill="auto"/>
          </w:tcPr>
          <w:p w:rsidR="00FD0158" w:rsidRPr="00397877" w:rsidRDefault="00FD0158" w:rsidP="00F30428">
            <w:pPr>
              <w:ind w:firstLine="709"/>
              <w:jc w:val="both"/>
            </w:pPr>
            <w:r w:rsidRPr="00397877">
              <w:t>Проект «Разработка и реализация программы системной поддержки и повышения качества жизни граждан старшего поколения «Старшее поколение» (далее –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Проект предусматривает актуализацию действующих государственных и муниципальных программ автономного округа для реализации мероприятий по организации занятий физической культурой граждан пожилого возраста, их вовлечению в культурную жизнь общества, развитию медицинской помощи  по профилю «гериатрия» и системы оценки потребности в уходе,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торговли, обеспечению приспособленности парка общественного транспорта к потребностям маломобильных групп населения,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развитию благотворительности и добровольческой (волонтерской) деятельности в интересах граждан старшего поколения, в том числе волонтерского движение «Серебряные волонтеры», формированию позитивного и уважительного отношения к людям старшего поколения.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 xml:space="preserve">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 К концу 2024 года не менее 70% лиц старше трудоспособного возраста будут охвачены профилактическими осмотрами, включая диспансеризацию, и не менее 90 % лиц старше трудоспособного возраста, у которых выявлены заболевания и патологические состояния, будут находиться под диспансерным наблюдением. 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В автономном округе к 31.12.2024 будет создана и апробирована современная модель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помощи. В 2020 году будет создан региональный гериатрический центр.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 xml:space="preserve">В автономном округе в 2024 году будет создана система долговременного ухода за гражданами пожилого возраста, включающая сбалансированные социальное обслуживание и медицинскую помощь на дому, в полустационарной и стационарной форме с привлечением </w:t>
            </w:r>
            <w:r w:rsidRPr="00397877">
              <w:lastRenderedPageBreak/>
              <w:t>патронажной службы и сиделок.</w:t>
            </w:r>
          </w:p>
          <w:p w:rsidR="00FD0158" w:rsidRPr="00397877" w:rsidRDefault="00FD0158" w:rsidP="00F30428">
            <w:pPr>
              <w:ind w:firstLine="709"/>
              <w:contextualSpacing/>
              <w:jc w:val="both"/>
            </w:pPr>
            <w:r w:rsidRPr="00397877">
              <w:t>В рамках реализации проекта также будет реализован комплекс мероприятий, направленный на  укрепление материально-технической базы стационарных организаций социального обслуживания, в том числе проведение ремонта, поддержание надлежащего состояния, которые позволят обеспечить комфортным проживанием, приближенным к домашним условиям, 849 гражданам, а также не допустить возникновения очередности в стационарные организации социального обслуживания.</w:t>
            </w:r>
          </w:p>
          <w:p w:rsidR="00FD0158" w:rsidRPr="00397877" w:rsidRDefault="00FD0158" w:rsidP="00F30428">
            <w:pPr>
              <w:ind w:firstLine="709"/>
              <w:contextualSpacing/>
              <w:jc w:val="both"/>
            </w:pPr>
            <w:r w:rsidRPr="00397877">
              <w:t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на повышения их конкурентоспособности и трудовой мобильности на рынке труда. Проектом предусмотрено обучение граждан предпенсионного возраста востребованным в экономике навыкам и компетенциям.</w:t>
            </w:r>
          </w:p>
          <w:p w:rsidR="00FD0158" w:rsidRPr="00397877" w:rsidRDefault="00FD0158" w:rsidP="00F30428">
            <w:pPr>
              <w:keepNext/>
              <w:widowControl w:val="0"/>
              <w:suppressAutoHyphens/>
              <w:ind w:firstLine="743"/>
              <w:jc w:val="both"/>
            </w:pPr>
            <w:r w:rsidRPr="00397877">
              <w:t>Реализация проекта носит комплексный межведомственный и междисциплинарный системный характер, будет способствовать увеличению периода активного долголетия и продолжительности здоровой жизни граждан старшего поколения.</w:t>
            </w:r>
          </w:p>
        </w:tc>
      </w:tr>
    </w:tbl>
    <w:p w:rsidR="00FD0158" w:rsidRPr="00397877" w:rsidRDefault="00FD0158" w:rsidP="00FD0158">
      <w:pPr>
        <w:jc w:val="right"/>
      </w:pPr>
    </w:p>
    <w:p w:rsidR="00FD0158" w:rsidRPr="00397877" w:rsidRDefault="00FD0158" w:rsidP="00FD0158">
      <w:pPr>
        <w:pageBreakBefore/>
        <w:jc w:val="right"/>
      </w:pPr>
      <w:r w:rsidRPr="00397877">
        <w:lastRenderedPageBreak/>
        <w:t>ПРИЛОЖЕНИЕ 2</w:t>
      </w:r>
    </w:p>
    <w:p w:rsidR="00FD0158" w:rsidRPr="00397877" w:rsidRDefault="00FD0158" w:rsidP="00FD0158">
      <w:pPr>
        <w:jc w:val="right"/>
      </w:pPr>
      <w:r w:rsidRPr="00397877">
        <w:t xml:space="preserve">к паспорту регионального проекта </w:t>
      </w:r>
    </w:p>
    <w:p w:rsidR="00FD0158" w:rsidRPr="00397877" w:rsidRDefault="00FD0158" w:rsidP="00FD0158">
      <w:pPr>
        <w:jc w:val="right"/>
      </w:pPr>
      <w:r w:rsidRPr="00397877">
        <w:t>«Старшее поколение»</w:t>
      </w:r>
    </w:p>
    <w:p w:rsidR="00FD0158" w:rsidRPr="00397877" w:rsidRDefault="00FD0158" w:rsidP="00FD0158">
      <w:pPr>
        <w:suppressAutoHyphens/>
        <w:jc w:val="right"/>
        <w:rPr>
          <w:rFonts w:eastAsia="Calibri"/>
        </w:rPr>
      </w:pPr>
    </w:p>
    <w:p w:rsidR="00FD0158" w:rsidRPr="00397877" w:rsidRDefault="00FD0158" w:rsidP="00FD0158">
      <w:pPr>
        <w:spacing w:line="276" w:lineRule="auto"/>
        <w:jc w:val="center"/>
        <w:rPr>
          <w:b/>
        </w:rPr>
      </w:pPr>
      <w:r w:rsidRPr="00397877">
        <w:rPr>
          <w:b/>
        </w:rPr>
        <w:t>МЕТОДИКА</w:t>
      </w:r>
      <w:r w:rsidRPr="00397877">
        <w:rPr>
          <w:b/>
        </w:rPr>
        <w:br/>
        <w:t>расчета дополнительных показателей регионального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540"/>
        <w:gridCol w:w="1664"/>
        <w:gridCol w:w="2021"/>
        <w:gridCol w:w="1877"/>
        <w:gridCol w:w="1764"/>
        <w:gridCol w:w="1831"/>
        <w:gridCol w:w="2044"/>
      </w:tblGrid>
      <w:tr w:rsidR="00FD0158" w:rsidRPr="00397877" w:rsidTr="00F30428">
        <w:tc>
          <w:tcPr>
            <w:tcW w:w="829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№ п/п</w:t>
            </w:r>
          </w:p>
        </w:tc>
        <w:tc>
          <w:tcPr>
            <w:tcW w:w="2540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Методика расчета</w:t>
            </w:r>
          </w:p>
        </w:tc>
        <w:tc>
          <w:tcPr>
            <w:tcW w:w="166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Базовые показатели</w:t>
            </w:r>
          </w:p>
        </w:tc>
        <w:tc>
          <w:tcPr>
            <w:tcW w:w="2021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Источник данных</w:t>
            </w:r>
          </w:p>
        </w:tc>
        <w:tc>
          <w:tcPr>
            <w:tcW w:w="1877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Ответственный за сбор данных</w:t>
            </w:r>
            <w:r w:rsidRPr="00397877">
              <w:rPr>
                <w:rStyle w:val="a8"/>
              </w:rPr>
              <w:footnoteReference w:id="3"/>
            </w:r>
          </w:p>
        </w:tc>
        <w:tc>
          <w:tcPr>
            <w:tcW w:w="176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Уровень агрегирования информации</w:t>
            </w:r>
          </w:p>
        </w:tc>
        <w:tc>
          <w:tcPr>
            <w:tcW w:w="1831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Временные характеристики</w:t>
            </w:r>
          </w:p>
        </w:tc>
        <w:tc>
          <w:tcPr>
            <w:tcW w:w="204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Дополнительная информация</w:t>
            </w:r>
          </w:p>
        </w:tc>
      </w:tr>
      <w:tr w:rsidR="00FD0158" w:rsidRPr="00397877" w:rsidTr="00F30428">
        <w:tc>
          <w:tcPr>
            <w:tcW w:w="14570" w:type="dxa"/>
            <w:gridSpan w:val="8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</w:tc>
      </w:tr>
      <w:tr w:rsidR="00FD0158" w:rsidRPr="00397877" w:rsidTr="00F30428">
        <w:tc>
          <w:tcPr>
            <w:tcW w:w="829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  <w:rPr>
                <w:lang w:val="en-US"/>
              </w:rPr>
            </w:pPr>
            <w:r w:rsidRPr="00397877">
              <w:t>1</w:t>
            </w:r>
          </w:p>
        </w:tc>
        <w:tc>
          <w:tcPr>
            <w:tcW w:w="2540" w:type="dxa"/>
            <w:shd w:val="clear" w:color="auto" w:fill="auto"/>
          </w:tcPr>
          <w:p w:rsidR="00FD0158" w:rsidRPr="00397877" w:rsidRDefault="00FD0158" w:rsidP="00FD0158">
            <w:pPr>
              <w:jc w:val="center"/>
            </w:pPr>
            <w:r w:rsidRPr="00397877">
              <w:t xml:space="preserve">Определяется по строке «Число бригад, единиц» раздела 7 «Сведения о предоставлении социальных услуг мобильными бригадами» формы федерального статистического наблюдения № 6-собес (сводная), утвержденной приказом Росстата от 10.11.2017 № 748 «Об утверждении статистического инструментария для организации Министерством труда и социальной защиты Российской </w:t>
            </w:r>
            <w:r w:rsidRPr="00397877">
              <w:lastRenderedPageBreak/>
              <w:t>Федерации федерального статистического наблюдения за социальным обслуживанием граждан и инвалидов»</w:t>
            </w:r>
          </w:p>
        </w:tc>
        <w:tc>
          <w:tcPr>
            <w:tcW w:w="1664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lastRenderedPageBreak/>
              <w:t>Число бригад, единиц</w:t>
            </w:r>
          </w:p>
        </w:tc>
        <w:tc>
          <w:tcPr>
            <w:tcW w:w="2021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ind w:left="-28" w:right="-33"/>
              <w:jc w:val="center"/>
            </w:pPr>
            <w:r w:rsidRPr="00397877">
              <w:t xml:space="preserve">Форма федерального статистического наблюдения № 6-собес (сводная), утвержденная приказом Росстата от 10.11.2017 № 748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</w:t>
            </w:r>
            <w:r w:rsidRPr="00397877">
              <w:lastRenderedPageBreak/>
              <w:t>социальным обслуживанием граждан и инвалидов»</w:t>
            </w:r>
          </w:p>
        </w:tc>
        <w:tc>
          <w:tcPr>
            <w:tcW w:w="1877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lastRenderedPageBreak/>
              <w:t>Депсоцразвития Югры</w:t>
            </w:r>
          </w:p>
        </w:tc>
        <w:tc>
          <w:tcPr>
            <w:tcW w:w="1764" w:type="dxa"/>
            <w:shd w:val="clear" w:color="auto" w:fill="auto"/>
          </w:tcPr>
          <w:p w:rsidR="00FD0158" w:rsidRPr="00397877" w:rsidRDefault="00FD0158" w:rsidP="00FD0158">
            <w:pPr>
              <w:autoSpaceDE w:val="0"/>
              <w:autoSpaceDN w:val="0"/>
              <w:adjustRightInd w:val="0"/>
              <w:spacing w:line="15" w:lineRule="atLeast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97877">
              <w:t>по Ханты-Мансийскому автономному округу - Югре</w:t>
            </w:r>
          </w:p>
          <w:p w:rsidR="00FD0158" w:rsidRPr="00397877" w:rsidRDefault="00FD0158" w:rsidP="00FD0158">
            <w:pPr>
              <w:spacing w:after="80" w:line="240" w:lineRule="atLeast"/>
              <w:jc w:val="center"/>
            </w:pPr>
          </w:p>
        </w:tc>
        <w:tc>
          <w:tcPr>
            <w:tcW w:w="1831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Годовая, за отчетный период</w:t>
            </w:r>
          </w:p>
        </w:tc>
        <w:tc>
          <w:tcPr>
            <w:tcW w:w="2044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Показатель характеризует число «мобильных бригад», которые предоставляют социальные услуги гражданам, проживающим в сельской местности и труднодоступных районах</w:t>
            </w:r>
          </w:p>
        </w:tc>
      </w:tr>
    </w:tbl>
    <w:p w:rsidR="00FD0158" w:rsidRPr="00397877" w:rsidRDefault="00FD0158" w:rsidP="00FD0158">
      <w:pPr>
        <w:spacing w:line="276" w:lineRule="auto"/>
        <w:jc w:val="center"/>
      </w:pPr>
    </w:p>
    <w:p w:rsidR="00FD0158" w:rsidRPr="00397877" w:rsidRDefault="00FD0158" w:rsidP="00FD0158">
      <w:pPr>
        <w:pageBreakBefore/>
        <w:jc w:val="right"/>
      </w:pPr>
      <w:r w:rsidRPr="00397877">
        <w:lastRenderedPageBreak/>
        <w:t>ПРИЛОЖЕНИЕ 3</w:t>
      </w:r>
    </w:p>
    <w:p w:rsidR="00FD0158" w:rsidRPr="00397877" w:rsidRDefault="00FD0158" w:rsidP="00FD0158">
      <w:pPr>
        <w:jc w:val="right"/>
      </w:pPr>
      <w:r w:rsidRPr="00397877">
        <w:t>к паспорту регионального проекта</w:t>
      </w:r>
    </w:p>
    <w:p w:rsidR="00FD0158" w:rsidRPr="00397877" w:rsidRDefault="00FD0158" w:rsidP="00FD0158">
      <w:pPr>
        <w:jc w:val="right"/>
        <w:rPr>
          <w:b/>
        </w:rPr>
      </w:pPr>
      <w:r w:rsidRPr="00397877">
        <w:t>«Старшее поколение»</w:t>
      </w: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jc w:val="center"/>
        <w:rPr>
          <w:b/>
        </w:rPr>
      </w:pPr>
      <w:r w:rsidRPr="00397877">
        <w:rPr>
          <w:b/>
        </w:rPr>
        <w:t>ДОПОЛНИТЕЛЬНЫЕ И ОБОСНОВЫВАЮЩИЕ МАТЕРИАЛЫ</w:t>
      </w: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pStyle w:val="a3"/>
        <w:numPr>
          <w:ilvl w:val="0"/>
          <w:numId w:val="19"/>
        </w:numPr>
        <w:jc w:val="center"/>
        <w:rPr>
          <w:b/>
        </w:rPr>
      </w:pPr>
      <w:r w:rsidRPr="00397877">
        <w:rPr>
          <w:b/>
        </w:rPr>
        <w:t>Дополнительные основные положения</w:t>
      </w:r>
    </w:p>
    <w:p w:rsidR="00FD0158" w:rsidRPr="00397877" w:rsidRDefault="00FD0158" w:rsidP="00FD0158">
      <w:pPr>
        <w:pStyle w:val="a3"/>
        <w:ind w:left="108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4"/>
        <w:gridCol w:w="18"/>
        <w:gridCol w:w="3158"/>
        <w:gridCol w:w="3176"/>
        <w:gridCol w:w="1875"/>
        <w:gridCol w:w="2925"/>
        <w:gridCol w:w="64"/>
      </w:tblGrid>
      <w:tr w:rsidR="00FD0158" w:rsidRPr="00397877" w:rsidTr="00FD0158">
        <w:trPr>
          <w:trHeight w:val="170"/>
        </w:trPr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>Наименование портфеля проектов Ханты-Мансийского автономного округа – Югры, в который включен региональный проект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t>«Демография»</w:t>
            </w:r>
          </w:p>
        </w:tc>
      </w:tr>
      <w:tr w:rsidR="00FD0158" w:rsidRPr="00397877" w:rsidTr="00FD0158">
        <w:trPr>
          <w:trHeight w:val="252"/>
        </w:trPr>
        <w:tc>
          <w:tcPr>
            <w:tcW w:w="3652" w:type="dxa"/>
            <w:gridSpan w:val="2"/>
            <w:shd w:val="clear" w:color="auto" w:fill="FFFFFF"/>
          </w:tcPr>
          <w:p w:rsidR="00FD0158" w:rsidRPr="00397877" w:rsidRDefault="00FD0158" w:rsidP="00F30428">
            <w:r w:rsidRPr="00397877">
              <w:t>Взаимосвязь с другими проектами, портфелями проектов Ханты-Мансийского автономного округа - Югры</w:t>
            </w:r>
          </w:p>
        </w:tc>
        <w:tc>
          <w:tcPr>
            <w:tcW w:w="11198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«Спорт – норма жизни»</w:t>
            </w:r>
          </w:p>
        </w:tc>
      </w:tr>
      <w:tr w:rsidR="00FD0158" w:rsidRPr="00397877" w:rsidTr="00FD0158">
        <w:trPr>
          <w:gridAfter w:val="1"/>
          <w:wAfter w:w="64" w:type="dxa"/>
          <w:trHeight w:val="606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Команда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  <w:r w:rsidRPr="00397877">
              <w:rPr>
                <w:b/>
                <w:bCs/>
                <w:iCs/>
              </w:rPr>
              <w:t>Роль в проекте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 xml:space="preserve">Фамилия, инициалы 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Должность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Занятость в проекте (процентов)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Примечание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  <w:i/>
              </w:rPr>
            </w:pPr>
            <w:r w:rsidRPr="00397877">
              <w:rPr>
                <w:b/>
                <w:i/>
              </w:rPr>
              <w:t>Управляющий комитет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Куратор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E8214E" w:rsidP="00F30428">
            <w:pPr>
              <w:widowControl w:val="0"/>
              <w:jc w:val="center"/>
            </w:pPr>
            <w:r w:rsidRPr="00397877">
              <w:t>Кольцов В.С.</w:t>
            </w:r>
          </w:p>
          <w:p w:rsidR="00E8214E" w:rsidRPr="00397877" w:rsidRDefault="00E8214E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 xml:space="preserve">(Южаков </w:t>
            </w:r>
            <w:r w:rsidR="00DB5ECC" w:rsidRPr="00397877">
              <w:t>Ю.А.)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10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Заказчик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E8214E" w:rsidP="00F30428">
            <w:pPr>
              <w:widowControl w:val="0"/>
              <w:jc w:val="center"/>
            </w:pPr>
            <w:r w:rsidRPr="00397877">
              <w:t>Кольцов В.С.</w:t>
            </w:r>
          </w:p>
          <w:p w:rsidR="00DB5ECC" w:rsidRPr="00397877" w:rsidRDefault="00DB5ECC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(Южаков Ю.А.)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10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Руководитель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Пономарева Т.А.</w:t>
            </w:r>
          </w:p>
          <w:p w:rsidR="00B76E58" w:rsidRPr="00397877" w:rsidRDefault="00B76E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(Немчинова Е.В.)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первый заместитель директора Департамента социального развития Ханты-Мансийского автономного округа – Югры</w:t>
            </w:r>
          </w:p>
          <w:p w:rsidR="00B76E58" w:rsidRPr="00397877" w:rsidRDefault="00B76E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lastRenderedPageBreak/>
              <w:t xml:space="preserve">(заместитель директора </w:t>
            </w:r>
            <w:r w:rsidR="00FE4B6A" w:rsidRPr="00397877">
              <w:t xml:space="preserve">– начальник управления опеки и попечительства </w:t>
            </w:r>
            <w:r w:rsidRPr="00397877">
              <w:t>Депсоцразвития Югры)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lastRenderedPageBreak/>
              <w:t>20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  <w:highlight w:val="yellow"/>
              </w:rPr>
            </w:pPr>
            <w:r w:rsidRPr="00397877">
              <w:rPr>
                <w:bCs/>
                <w:iCs/>
              </w:rPr>
              <w:lastRenderedPageBreak/>
              <w:t>Член управляющего комитета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highlight w:val="yellow"/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  <w:i/>
              </w:rPr>
            </w:pPr>
            <w:r w:rsidRPr="00397877">
              <w:rPr>
                <w:b/>
                <w:i/>
              </w:rPr>
              <w:t>Другие участники команды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Администратор регионального проекта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B76E58" w:rsidP="00B76E58">
            <w:pPr>
              <w:widowControl w:val="0"/>
              <w:jc w:val="center"/>
              <w:rPr>
                <w:bCs/>
                <w:iCs/>
              </w:rPr>
            </w:pPr>
            <w:r w:rsidRPr="00397877">
              <w:t>Шулдикова Е.А.</w:t>
            </w:r>
            <w:r w:rsidRPr="00397877">
              <w:rPr>
                <w:bCs/>
                <w:iCs/>
              </w:rPr>
              <w:t xml:space="preserve"> </w:t>
            </w:r>
          </w:p>
          <w:p w:rsidR="00B76E58" w:rsidRPr="00397877" w:rsidRDefault="00B76E58" w:rsidP="00B76E58">
            <w:pPr>
              <w:widowControl w:val="0"/>
              <w:jc w:val="center"/>
              <w:rPr>
                <w:bCs/>
                <w:iCs/>
              </w:rPr>
            </w:pPr>
            <w:r w:rsidRPr="00397877">
              <w:rPr>
                <w:bCs/>
                <w:iCs/>
              </w:rPr>
              <w:t>(Ибраева Р.Х.)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B76E58" w:rsidP="00F30428">
            <w:pPr>
              <w:widowControl w:val="0"/>
              <w:jc w:val="center"/>
            </w:pPr>
            <w:r w:rsidRPr="00397877">
              <w:t>консультант</w:t>
            </w:r>
            <w:r w:rsidR="00FD0158" w:rsidRPr="00397877">
              <w:t xml:space="preserve"> отдела межведомственной координации вопросов демографической и семейной политики Депсоцразвития Югры</w:t>
            </w:r>
          </w:p>
          <w:p w:rsidR="00BE06D3" w:rsidRPr="00397877" w:rsidRDefault="00BE06D3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40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Ответственный за результат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widowControl w:val="0"/>
              <w:jc w:val="center"/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первый заместитель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Добровольский А.А.</w:t>
            </w:r>
          </w:p>
          <w:p w:rsidR="00C85BE3" w:rsidRPr="00397877" w:rsidRDefault="00C85BE3" w:rsidP="00F3042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C85BE3" w:rsidRPr="00397877" w:rsidRDefault="00FD0158" w:rsidP="00C85BE3">
            <w:pPr>
              <w:widowControl w:val="0"/>
              <w:jc w:val="center"/>
            </w:pPr>
            <w:r w:rsidRPr="00397877">
              <w:t>директор Департамента здравоохранения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rPr>
                <w:bCs/>
                <w:iCs/>
              </w:rPr>
              <w:t>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Варлаков А.П.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  <w:highlight w:val="yellow"/>
              </w:rPr>
            </w:pPr>
            <w:r w:rsidRPr="00397877">
              <w:rPr>
                <w:bCs/>
                <w:iCs/>
              </w:rPr>
              <w:t>Участники регионального проекта (исполнители)</w:t>
            </w:r>
          </w:p>
        </w:tc>
        <w:tc>
          <w:tcPr>
            <w:tcW w:w="111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highlight w:val="yellow"/>
                <w:lang w:eastAsia="x-none"/>
              </w:rPr>
            </w:pPr>
            <w:r w:rsidRPr="00397877">
              <w:rPr>
                <w:lang w:eastAsia="x-none"/>
              </w:rPr>
              <w:t>Указаны в таблице 5  паспорта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Заинтересованные стороны регионального проекта</w:t>
            </w:r>
          </w:p>
          <w:p w:rsidR="00FD0158" w:rsidRPr="00397877" w:rsidRDefault="00FD0158" w:rsidP="00F30428">
            <w:pPr>
              <w:widowControl w:val="0"/>
              <w:ind w:left="360"/>
              <w:rPr>
                <w:b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Орган, уполномоченный</w:t>
            </w:r>
          </w:p>
          <w:p w:rsidR="00FD0158" w:rsidRPr="00397877" w:rsidRDefault="00FD0158" w:rsidP="00F30428">
            <w:pPr>
              <w:widowControl w:val="0"/>
            </w:pPr>
            <w:r w:rsidRPr="00397877">
              <w:rPr>
                <w:bCs/>
                <w:iCs/>
              </w:rPr>
              <w:t>на осуществление общественной оценки регионального проекта</w:t>
            </w:r>
          </w:p>
        </w:tc>
        <w:tc>
          <w:tcPr>
            <w:tcW w:w="111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rPr>
                <w:bCs/>
                <w:iCs/>
              </w:rPr>
              <w:t>Общественный совет при Депсоцразвития Югры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Экспертная группа</w:t>
            </w:r>
          </w:p>
        </w:tc>
        <w:tc>
          <w:tcPr>
            <w:tcW w:w="11152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Матвиенок В.В., председатель Нижневартовской городской общественной организации «Молодая семья»; 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Манахова К.М., член Общественной молодежной палаты г. Югорска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Другие заинтересованные стороны</w:t>
            </w:r>
          </w:p>
        </w:tc>
        <w:tc>
          <w:tcPr>
            <w:tcW w:w="11152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Якубёнок О.А., член Общественного совета при Депсоцразвития Югры</w:t>
            </w:r>
          </w:p>
        </w:tc>
      </w:tr>
    </w:tbl>
    <w:p w:rsidR="00FD0158" w:rsidRPr="00397877" w:rsidRDefault="00FD0158" w:rsidP="00FD0158">
      <w:pPr>
        <w:jc w:val="right"/>
        <w:rPr>
          <w:i/>
          <w:highlight w:val="yellow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827"/>
        <w:gridCol w:w="4961"/>
      </w:tblGrid>
      <w:tr w:rsidR="00FD0158" w:rsidRPr="00397877" w:rsidTr="00F30428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397877">
              <w:rPr>
                <w:b/>
              </w:rPr>
              <w:t>Риски регионального проекта</w:t>
            </w:r>
          </w:p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</w:p>
        </w:tc>
      </w:tr>
      <w:tr w:rsidR="00FD0158" w:rsidRPr="00397877" w:rsidTr="00F30428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Наименование риска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</w:pPr>
            <w:r w:rsidRPr="00397877"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</w:pPr>
            <w:r w:rsidRPr="00397877">
              <w:t>Мероприятия по реагированию на риск</w:t>
            </w:r>
          </w:p>
        </w:tc>
      </w:tr>
      <w:tr w:rsidR="00FD0158" w:rsidRPr="00397877" w:rsidTr="00F30428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1</w:t>
            </w:r>
          </w:p>
        </w:tc>
        <w:tc>
          <w:tcPr>
            <w:tcW w:w="4820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Чрезвычайная ситуация, повлекшая значительные повреждения объектов стационарных организаций социального обслуживания</w:t>
            </w:r>
          </w:p>
        </w:tc>
        <w:tc>
          <w:tcPr>
            <w:tcW w:w="3827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Пономарева Тереза Анатольевна, первый заместитель директора Депсоцразвития Югры</w:t>
            </w:r>
          </w:p>
        </w:tc>
        <w:tc>
          <w:tcPr>
            <w:tcW w:w="4961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  <w:tr w:rsidR="00FD0158" w:rsidRPr="00397877" w:rsidTr="00F30428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2</w:t>
            </w:r>
          </w:p>
        </w:tc>
        <w:tc>
          <w:tcPr>
            <w:tcW w:w="4820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 xml:space="preserve">Низкий уровень востребованности профессионального обучения и дополнительного профессионального образования среди граждан предпенсионного возраста </w:t>
            </w:r>
          </w:p>
        </w:tc>
        <w:tc>
          <w:tcPr>
            <w:tcW w:w="3827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  <w:rPr>
                <w:color w:val="FF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Варлаков Алексей Петрович, директор </w:t>
            </w:r>
            <w:r w:rsidRPr="00397877">
              <w:t>Дептруда и занятости Югры</w:t>
            </w:r>
          </w:p>
        </w:tc>
        <w:tc>
          <w:tcPr>
            <w:tcW w:w="4961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spacing w:before="40"/>
              <w:jc w:val="center"/>
              <w:outlineLvl w:val="1"/>
              <w:rPr>
                <w:color w:val="FF0000"/>
              </w:rPr>
            </w:pPr>
            <w:r w:rsidRPr="00397877">
              <w:t>Корректировка проекта</w:t>
            </w:r>
          </w:p>
        </w:tc>
      </w:tr>
    </w:tbl>
    <w:p w:rsidR="00FD0158" w:rsidRPr="00397877" w:rsidRDefault="00FD0158" w:rsidP="00FD0158">
      <w:pPr>
        <w:jc w:val="center"/>
      </w:pPr>
    </w:p>
    <w:p w:rsidR="00FD0158" w:rsidRPr="00397877" w:rsidRDefault="00FD0158" w:rsidP="001B3FB3">
      <w:pPr>
        <w:keepLines/>
        <w:widowControl w:val="0"/>
        <w:jc w:val="center"/>
        <w:outlineLvl w:val="1"/>
        <w:rPr>
          <w:b/>
          <w:lang w:eastAsia="x-none"/>
        </w:rPr>
      </w:pPr>
    </w:p>
    <w:p w:rsidR="00FD0158" w:rsidRPr="00397877" w:rsidRDefault="00FD0158" w:rsidP="001B3FB3">
      <w:pPr>
        <w:keepLines/>
        <w:widowControl w:val="0"/>
        <w:jc w:val="center"/>
        <w:outlineLvl w:val="1"/>
        <w:rPr>
          <w:b/>
          <w:lang w:eastAsia="x-none"/>
        </w:rPr>
      </w:pPr>
    </w:p>
    <w:sectPr w:rsidR="00FD0158" w:rsidRPr="00397877" w:rsidSect="00AB4C68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6E" w:rsidRDefault="005E756E" w:rsidP="00C869D0">
      <w:r>
        <w:separator/>
      </w:r>
    </w:p>
  </w:endnote>
  <w:endnote w:type="continuationSeparator" w:id="0">
    <w:p w:rsidR="005E756E" w:rsidRDefault="005E756E" w:rsidP="00C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6E" w:rsidRDefault="005E756E" w:rsidP="00C869D0">
      <w:r>
        <w:separator/>
      </w:r>
    </w:p>
  </w:footnote>
  <w:footnote w:type="continuationSeparator" w:id="0">
    <w:p w:rsidR="005E756E" w:rsidRDefault="005E756E" w:rsidP="00C869D0">
      <w:r>
        <w:continuationSeparator/>
      </w:r>
    </w:p>
  </w:footnote>
  <w:footnote w:id="1">
    <w:p w:rsidR="00DB5ECC" w:rsidRPr="00C77A82" w:rsidRDefault="00DB5ECC" w:rsidP="00FD0158">
      <w:pPr>
        <w:pStyle w:val="a6"/>
        <w:ind w:right="253"/>
        <w:jc w:val="both"/>
        <w:rPr>
          <w:lang w:val="ru-RU"/>
        </w:rPr>
      </w:pPr>
      <w:r w:rsidRPr="00873E39">
        <w:rPr>
          <w:rStyle w:val="a8"/>
        </w:rPr>
        <w:footnoteRef/>
      </w:r>
      <w:r w:rsidRPr="00873E39">
        <w:t xml:space="preserve"> </w:t>
      </w:r>
      <w:r w:rsidRPr="00C82AF0">
        <w:rPr>
          <w:rStyle w:val="a9"/>
          <w:color w:val="000000"/>
          <w:lang w:val="ru-RU"/>
        </w:rPr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</w:t>
      </w:r>
      <w:r>
        <w:rPr>
          <w:rStyle w:val="a9"/>
          <w:color w:val="000000"/>
          <w:lang w:val="ru-RU"/>
        </w:rPr>
        <w:t xml:space="preserve"> </w:t>
      </w:r>
      <w:r w:rsidRPr="00C82AF0">
        <w:rPr>
          <w:rStyle w:val="a9"/>
          <w:color w:val="000000"/>
          <w:lang w:val="ru-RU"/>
        </w:rPr>
        <w:t>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2">
    <w:p w:rsidR="00DB5ECC" w:rsidRPr="0023056E" w:rsidRDefault="00DB5ECC" w:rsidP="00FD0158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C82AF0">
        <w:rPr>
          <w:rStyle w:val="a9"/>
          <w:color w:val="000000"/>
          <w:lang w:val="ru-RU"/>
        </w:rPr>
        <w:t>Методика расчета целевых показателей по регионам не доведена</w:t>
      </w:r>
    </w:p>
  </w:footnote>
  <w:footnote w:id="3">
    <w:p w:rsidR="00DB5ECC" w:rsidRPr="009957FA" w:rsidRDefault="00DB5ECC" w:rsidP="00FD0158">
      <w:pPr>
        <w:pStyle w:val="a6"/>
        <w:rPr>
          <w:rFonts w:ascii="Times New Roman" w:hAnsi="Times New Roman"/>
          <w:lang w:val="ru-RU"/>
        </w:rPr>
      </w:pPr>
      <w:r w:rsidRPr="009957FA">
        <w:rPr>
          <w:rStyle w:val="a8"/>
        </w:rPr>
        <w:footnoteRef/>
      </w:r>
      <w:r w:rsidRPr="009957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Орган исполнительной власти, иной орган или организация.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CC" w:rsidRDefault="00DB5ECC" w:rsidP="00F304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4FF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619"/>
    <w:multiLevelType w:val="hybridMultilevel"/>
    <w:tmpl w:val="C3E6CD72"/>
    <w:lvl w:ilvl="0" w:tplc="CA6C14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D6E"/>
    <w:multiLevelType w:val="hybridMultilevel"/>
    <w:tmpl w:val="3F36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A92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2E7"/>
    <w:multiLevelType w:val="hybridMultilevel"/>
    <w:tmpl w:val="6604FE4C"/>
    <w:lvl w:ilvl="0" w:tplc="4D7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979FD"/>
    <w:multiLevelType w:val="hybridMultilevel"/>
    <w:tmpl w:val="BC8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01A7"/>
    <w:multiLevelType w:val="hybridMultilevel"/>
    <w:tmpl w:val="8FC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37D7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56A3"/>
    <w:multiLevelType w:val="hybridMultilevel"/>
    <w:tmpl w:val="F5D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567B"/>
    <w:multiLevelType w:val="hybridMultilevel"/>
    <w:tmpl w:val="C7849570"/>
    <w:lvl w:ilvl="0" w:tplc="8C288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B6549"/>
    <w:multiLevelType w:val="hybridMultilevel"/>
    <w:tmpl w:val="C7E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3DF"/>
    <w:multiLevelType w:val="hybridMultilevel"/>
    <w:tmpl w:val="332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6FF3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4B31"/>
    <w:multiLevelType w:val="hybridMultilevel"/>
    <w:tmpl w:val="4E7687BE"/>
    <w:lvl w:ilvl="0" w:tplc="5FD61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B385A"/>
    <w:multiLevelType w:val="hybridMultilevel"/>
    <w:tmpl w:val="589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833BD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2513A"/>
    <w:multiLevelType w:val="hybridMultilevel"/>
    <w:tmpl w:val="6E80A85E"/>
    <w:lvl w:ilvl="0" w:tplc="C714FA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18"/>
  </w:num>
  <w:num w:numId="17">
    <w:abstractNumId w:val="17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1"/>
    <w:rsid w:val="00056AB9"/>
    <w:rsid w:val="00065D5C"/>
    <w:rsid w:val="00093C70"/>
    <w:rsid w:val="000A5F8C"/>
    <w:rsid w:val="000C1793"/>
    <w:rsid w:val="000D5273"/>
    <w:rsid w:val="00110FC5"/>
    <w:rsid w:val="00164E3F"/>
    <w:rsid w:val="0019701B"/>
    <w:rsid w:val="001B3FB3"/>
    <w:rsid w:val="001E486D"/>
    <w:rsid w:val="00265966"/>
    <w:rsid w:val="002A0391"/>
    <w:rsid w:val="002B5BCC"/>
    <w:rsid w:val="00346D44"/>
    <w:rsid w:val="003514B5"/>
    <w:rsid w:val="00351EC1"/>
    <w:rsid w:val="003857E0"/>
    <w:rsid w:val="00397877"/>
    <w:rsid w:val="00414FF5"/>
    <w:rsid w:val="004524EA"/>
    <w:rsid w:val="004A2AA5"/>
    <w:rsid w:val="004B43DF"/>
    <w:rsid w:val="004B4738"/>
    <w:rsid w:val="004E3375"/>
    <w:rsid w:val="004E6E78"/>
    <w:rsid w:val="00522490"/>
    <w:rsid w:val="0053334E"/>
    <w:rsid w:val="0057223A"/>
    <w:rsid w:val="00586D88"/>
    <w:rsid w:val="005B427B"/>
    <w:rsid w:val="005E756E"/>
    <w:rsid w:val="0065070D"/>
    <w:rsid w:val="007902A8"/>
    <w:rsid w:val="007F08DD"/>
    <w:rsid w:val="00833BD9"/>
    <w:rsid w:val="00905A5B"/>
    <w:rsid w:val="00971B76"/>
    <w:rsid w:val="00A639C1"/>
    <w:rsid w:val="00A713E5"/>
    <w:rsid w:val="00A93531"/>
    <w:rsid w:val="00AB4C68"/>
    <w:rsid w:val="00B4067E"/>
    <w:rsid w:val="00B60B9A"/>
    <w:rsid w:val="00B65797"/>
    <w:rsid w:val="00B76E58"/>
    <w:rsid w:val="00BB61FB"/>
    <w:rsid w:val="00BC40E3"/>
    <w:rsid w:val="00BC7CFB"/>
    <w:rsid w:val="00BD3396"/>
    <w:rsid w:val="00BD61C0"/>
    <w:rsid w:val="00BE06D3"/>
    <w:rsid w:val="00C804B3"/>
    <w:rsid w:val="00C85BE3"/>
    <w:rsid w:val="00C869D0"/>
    <w:rsid w:val="00CF7F43"/>
    <w:rsid w:val="00D03E8C"/>
    <w:rsid w:val="00D2574E"/>
    <w:rsid w:val="00D32A7E"/>
    <w:rsid w:val="00D7261F"/>
    <w:rsid w:val="00D941D1"/>
    <w:rsid w:val="00DB4766"/>
    <w:rsid w:val="00DB5ECC"/>
    <w:rsid w:val="00DE30FE"/>
    <w:rsid w:val="00E55041"/>
    <w:rsid w:val="00E8214E"/>
    <w:rsid w:val="00EB09E6"/>
    <w:rsid w:val="00F30428"/>
    <w:rsid w:val="00F60847"/>
    <w:rsid w:val="00FD0158"/>
    <w:rsid w:val="00FE4B6A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1793"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C869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79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B42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C86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8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unhideWhenUsed/>
    <w:rsid w:val="00C869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rsid w:val="00C869D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C869D0"/>
    <w:rPr>
      <w:vertAlign w:val="superscript"/>
    </w:rPr>
  </w:style>
  <w:style w:type="character" w:customStyle="1" w:styleId="a9">
    <w:name w:val="Подпись к таблице_"/>
    <w:link w:val="aa"/>
    <w:uiPriority w:val="99"/>
    <w:locked/>
    <w:rsid w:val="00C869D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869D0"/>
    <w:pPr>
      <w:widowControl w:val="0"/>
      <w:shd w:val="clear" w:color="auto" w:fill="FFFFFF"/>
      <w:spacing w:line="230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C8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C869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C869D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869D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C8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C869D0"/>
  </w:style>
  <w:style w:type="paragraph" w:customStyle="1" w:styleId="Style4">
    <w:name w:val="Style4"/>
    <w:basedOn w:val="a"/>
    <w:uiPriority w:val="99"/>
    <w:rsid w:val="00C869D0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paragraph" w:styleId="af0">
    <w:name w:val="Normal (Web)"/>
    <w:basedOn w:val="a"/>
    <w:uiPriority w:val="99"/>
    <w:unhideWhenUsed/>
    <w:rsid w:val="00C869D0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C869D0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af1">
    <w:name w:val="Основной текст + Курсив"/>
    <w:aliases w:val="Интервал 0 pt"/>
    <w:rsid w:val="00C869D0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2">
    <w:name w:val="annotation reference"/>
    <w:rsid w:val="00C869D0"/>
    <w:rPr>
      <w:sz w:val="16"/>
      <w:szCs w:val="16"/>
    </w:rPr>
  </w:style>
  <w:style w:type="paragraph" w:styleId="af3">
    <w:name w:val="annotation text"/>
    <w:basedOn w:val="a"/>
    <w:link w:val="af4"/>
    <w:rsid w:val="00C869D0"/>
    <w:pPr>
      <w:spacing w:line="360" w:lineRule="atLeast"/>
      <w:jc w:val="both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C869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C869D0"/>
    <w:rPr>
      <w:b/>
      <w:bCs/>
    </w:rPr>
  </w:style>
  <w:style w:type="character" w:customStyle="1" w:styleId="af6">
    <w:name w:val="Тема примечания Знак"/>
    <w:basedOn w:val="af4"/>
    <w:link w:val="af5"/>
    <w:rsid w:val="00C8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Revision"/>
    <w:hidden/>
    <w:uiPriority w:val="99"/>
    <w:semiHidden/>
    <w:rsid w:val="00C86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"/>
    <w:rsid w:val="00C869D0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link w:val="210"/>
    <w:uiPriority w:val="99"/>
    <w:locked/>
    <w:rsid w:val="00C869D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869D0"/>
    <w:pPr>
      <w:widowControl w:val="0"/>
      <w:shd w:val="clear" w:color="auto" w:fill="FFFFFF"/>
      <w:spacing w:line="277" w:lineRule="exact"/>
    </w:pPr>
    <w:rPr>
      <w:rFonts w:eastAsiaTheme="minorHAnsi" w:cstheme="minorBidi"/>
      <w:sz w:val="22"/>
      <w:szCs w:val="22"/>
      <w:lang w:eastAsia="en-US"/>
    </w:rPr>
  </w:style>
  <w:style w:type="character" w:styleId="af8">
    <w:name w:val="Emphasis"/>
    <w:qFormat/>
    <w:rsid w:val="00C869D0"/>
    <w:rPr>
      <w:i/>
      <w:iCs/>
    </w:rPr>
  </w:style>
  <w:style w:type="paragraph" w:customStyle="1" w:styleId="logo-text-lcase">
    <w:name w:val="logo-text-lcase"/>
    <w:basedOn w:val="a"/>
    <w:rsid w:val="00C869D0"/>
    <w:pPr>
      <w:spacing w:before="100" w:beforeAutospacing="1" w:after="100" w:afterAutospacing="1"/>
    </w:pPr>
  </w:style>
  <w:style w:type="paragraph" w:customStyle="1" w:styleId="logo-text-ucase">
    <w:name w:val="logo-text-ucase"/>
    <w:basedOn w:val="a"/>
    <w:rsid w:val="00C869D0"/>
    <w:pPr>
      <w:spacing w:before="100" w:beforeAutospacing="1" w:after="100" w:afterAutospacing="1"/>
    </w:pPr>
  </w:style>
  <w:style w:type="character" w:customStyle="1" w:styleId="212pt">
    <w:name w:val="Основной текст (2) + 12 pt"/>
    <w:rsid w:val="00C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869D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9D0"/>
    <w:pPr>
      <w:widowControl w:val="0"/>
      <w:shd w:val="clear" w:color="auto" w:fill="FFFFFF"/>
      <w:spacing w:before="360" w:line="230" w:lineRule="exact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af9">
    <w:name w:val="endnote text"/>
    <w:basedOn w:val="a"/>
    <w:link w:val="afa"/>
    <w:rsid w:val="001B3FB3"/>
    <w:pPr>
      <w:spacing w:line="360" w:lineRule="atLeast"/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B3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-title">
    <w:name w:val="section-title"/>
    <w:basedOn w:val="a0"/>
    <w:rsid w:val="001B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1793"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C869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79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B42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C86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8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unhideWhenUsed/>
    <w:rsid w:val="00C869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rsid w:val="00C869D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C869D0"/>
    <w:rPr>
      <w:vertAlign w:val="superscript"/>
    </w:rPr>
  </w:style>
  <w:style w:type="character" w:customStyle="1" w:styleId="a9">
    <w:name w:val="Подпись к таблице_"/>
    <w:link w:val="aa"/>
    <w:uiPriority w:val="99"/>
    <w:locked/>
    <w:rsid w:val="00C869D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869D0"/>
    <w:pPr>
      <w:widowControl w:val="0"/>
      <w:shd w:val="clear" w:color="auto" w:fill="FFFFFF"/>
      <w:spacing w:line="230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C8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C869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C869D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869D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C8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C869D0"/>
  </w:style>
  <w:style w:type="paragraph" w:customStyle="1" w:styleId="Style4">
    <w:name w:val="Style4"/>
    <w:basedOn w:val="a"/>
    <w:uiPriority w:val="99"/>
    <w:rsid w:val="00C869D0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paragraph" w:styleId="af0">
    <w:name w:val="Normal (Web)"/>
    <w:basedOn w:val="a"/>
    <w:uiPriority w:val="99"/>
    <w:unhideWhenUsed/>
    <w:rsid w:val="00C869D0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C869D0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af1">
    <w:name w:val="Основной текст + Курсив"/>
    <w:aliases w:val="Интервал 0 pt"/>
    <w:rsid w:val="00C869D0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2">
    <w:name w:val="annotation reference"/>
    <w:rsid w:val="00C869D0"/>
    <w:rPr>
      <w:sz w:val="16"/>
      <w:szCs w:val="16"/>
    </w:rPr>
  </w:style>
  <w:style w:type="paragraph" w:styleId="af3">
    <w:name w:val="annotation text"/>
    <w:basedOn w:val="a"/>
    <w:link w:val="af4"/>
    <w:rsid w:val="00C869D0"/>
    <w:pPr>
      <w:spacing w:line="360" w:lineRule="atLeast"/>
      <w:jc w:val="both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C869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C869D0"/>
    <w:rPr>
      <w:b/>
      <w:bCs/>
    </w:rPr>
  </w:style>
  <w:style w:type="character" w:customStyle="1" w:styleId="af6">
    <w:name w:val="Тема примечания Знак"/>
    <w:basedOn w:val="af4"/>
    <w:link w:val="af5"/>
    <w:rsid w:val="00C8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Revision"/>
    <w:hidden/>
    <w:uiPriority w:val="99"/>
    <w:semiHidden/>
    <w:rsid w:val="00C86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"/>
    <w:rsid w:val="00C869D0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link w:val="210"/>
    <w:uiPriority w:val="99"/>
    <w:locked/>
    <w:rsid w:val="00C869D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869D0"/>
    <w:pPr>
      <w:widowControl w:val="0"/>
      <w:shd w:val="clear" w:color="auto" w:fill="FFFFFF"/>
      <w:spacing w:line="277" w:lineRule="exact"/>
    </w:pPr>
    <w:rPr>
      <w:rFonts w:eastAsiaTheme="minorHAnsi" w:cstheme="minorBidi"/>
      <w:sz w:val="22"/>
      <w:szCs w:val="22"/>
      <w:lang w:eastAsia="en-US"/>
    </w:rPr>
  </w:style>
  <w:style w:type="character" w:styleId="af8">
    <w:name w:val="Emphasis"/>
    <w:qFormat/>
    <w:rsid w:val="00C869D0"/>
    <w:rPr>
      <w:i/>
      <w:iCs/>
    </w:rPr>
  </w:style>
  <w:style w:type="paragraph" w:customStyle="1" w:styleId="logo-text-lcase">
    <w:name w:val="logo-text-lcase"/>
    <w:basedOn w:val="a"/>
    <w:rsid w:val="00C869D0"/>
    <w:pPr>
      <w:spacing w:before="100" w:beforeAutospacing="1" w:after="100" w:afterAutospacing="1"/>
    </w:pPr>
  </w:style>
  <w:style w:type="paragraph" w:customStyle="1" w:styleId="logo-text-ucase">
    <w:name w:val="logo-text-ucase"/>
    <w:basedOn w:val="a"/>
    <w:rsid w:val="00C869D0"/>
    <w:pPr>
      <w:spacing w:before="100" w:beforeAutospacing="1" w:after="100" w:afterAutospacing="1"/>
    </w:pPr>
  </w:style>
  <w:style w:type="character" w:customStyle="1" w:styleId="212pt">
    <w:name w:val="Основной текст (2) + 12 pt"/>
    <w:rsid w:val="00C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869D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9D0"/>
    <w:pPr>
      <w:widowControl w:val="0"/>
      <w:shd w:val="clear" w:color="auto" w:fill="FFFFFF"/>
      <w:spacing w:before="360" w:line="230" w:lineRule="exact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af9">
    <w:name w:val="endnote text"/>
    <w:basedOn w:val="a"/>
    <w:link w:val="afa"/>
    <w:rsid w:val="001B3FB3"/>
    <w:pPr>
      <w:spacing w:line="360" w:lineRule="atLeast"/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B3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-title">
    <w:name w:val="section-title"/>
    <w:basedOn w:val="a0"/>
    <w:rsid w:val="001B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18599</Words>
  <Characters>106017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Римма Хасановна</dc:creator>
  <cp:lastModifiedBy>Татьяна А. Паршукова</cp:lastModifiedBy>
  <cp:revision>2</cp:revision>
  <cp:lastPrinted>2019-01-24T10:31:00Z</cp:lastPrinted>
  <dcterms:created xsi:type="dcterms:W3CDTF">2019-02-18T12:14:00Z</dcterms:created>
  <dcterms:modified xsi:type="dcterms:W3CDTF">2019-02-18T12:14:00Z</dcterms:modified>
</cp:coreProperties>
</file>