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r0b7flom9oh2" w:id="0"/>
      <w:bookmarkEnd w:id="0"/>
      <w:r w:rsidDel="00000000" w:rsidR="00000000" w:rsidRPr="00000000">
        <w:rPr>
          <w:rtl w:val="0"/>
        </w:rPr>
        <w:t xml:space="preserve">Руководство по созданию стандартных описаний электронных госуслуг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Задача описаний госуслуг — рассказывать посетителям региональных и муниципальных сайтов о федеральных госуслугах, которые можно получить на beta.gosuslugi.ru или через «Открытую платформу».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af5izyo73bc9" w:id="1"/>
      <w:bookmarkEnd w:id="1"/>
      <w:r w:rsidDel="00000000" w:rsidR="00000000" w:rsidRPr="00000000">
        <w:rPr>
          <w:rtl w:val="0"/>
        </w:rPr>
        <w:t xml:space="preserve">Структура описания услуги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Для описания услуги используется типовая структура: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Название услуги на простом языке + маркер электронной услуги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Жизненная ситуация, в которой услуга полезна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Преимущество получения услуги в электронном виде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Общий порядок получения услуги (без детализации)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Принципиальный перечень необходимых документов (без детализации)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Ограничения услуги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Ссылка или кнопка-действие (При необходимости)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28furgmgfmrm" w:id="2"/>
      <w:bookmarkEnd w:id="2"/>
      <w:r w:rsidDel="00000000" w:rsidR="00000000" w:rsidRPr="00000000">
        <w:rPr>
          <w:rtl w:val="0"/>
        </w:rPr>
        <w:t xml:space="preserve">Название на простом языке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Название услуги должно быть сформулировано на бытовом языке, без технических терминов и канцеляризмов, вне зависимости от официального названия услуги. Задача названия — обратиться к читателю на понятном ему языке, а не передать суть услуги с максимальной точностью. В названии понятность важнее точности:</w:t>
      </w:r>
    </w:p>
    <w:tbl>
      <w:tblPr>
        <w:tblStyle w:val="Table1"/>
        <w:bidi w:val="0"/>
        <w:tblW w:w="8340.0" w:type="dxa"/>
        <w:jc w:val="left"/>
        <w:tblInd w:w="660.0" w:type="dxa"/>
        <w:tblLayout w:type="fixed"/>
        <w:tblLook w:val="0600"/>
      </w:tblPr>
      <w:tblGrid>
        <w:gridCol w:w="4155"/>
        <w:gridCol w:w="4185"/>
        <w:tblGridChange w:id="0">
          <w:tblGrid>
            <w:gridCol w:w="4155"/>
            <w:gridCol w:w="41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Нет: формально верно, но сложно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Да: формально неверно, но понятно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Постановка на учет ТС</w:t>
              <w:br w:type="textWrapping"/>
              <w:t xml:space="preserve">Постановка на учет транспортных средств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Постановка машины на учет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Получение сведения о состоянии индивидуального пенсионного счета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Проверка пенсионного счета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Получение права на управление ТС</w:t>
              <w:br w:type="textWrapping"/>
              <w:t xml:space="preserve">Получение прав на управление транспортным средством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Получение водительских прав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из-за упрощения были потеряны некоторые смысловые элементы, то их нужно объяснить в первом абзаце объяснения. Например, постановка на учет транспортного средства подразумевает не только машину, но и мотоциклы и другие ТС. Поэтому в первом абзаце пишем уточнение: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Если вы купили машину, мотоцикл или другое транспортное средство...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 этом в заголовке должна быть максимально простая формулировка на бытовом языке, а не формально точная всеобъемлющая конструкция.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После сутевого названия услуги через точку может быть добавлен маркер «Электронная госуслуга». Этот маркер нужен в ситуациях, когда услуга представлена наряду с другими услугами, в том числе неэлектронными.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x4ejbajzyyed" w:id="3"/>
      <w:bookmarkEnd w:id="3"/>
      <w:r w:rsidDel="00000000" w:rsidR="00000000" w:rsidRPr="00000000">
        <w:rPr>
          <w:rtl w:val="0"/>
        </w:rPr>
        <w:t xml:space="preserve">Жизненная ситуация и преимущества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первом абзаце после названия необходимо описать жизненную ситуацию, в которой потребуется услуга, и объяснить преимущества электронной услуги перед личным посещением ведомстав: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Если вы купили машину, мотоцикл или другое транспортное средство, его нужно поставить на учет в отделении ГИБДД и получить свидетельство о госрегистрации. Электронная госуслуга поможет легко подать документы на регистрацию.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подадите документы на новый паспорт и вас пригласят, чтобы его получить.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Если у вас родился ребенок и вы собираетесь отдавать его в детский садик, задумайтесь заранее о том, чтобы занять место. Для этого достаточно подать заявление на сайте госуслуг, и вам сообщат, когда очередь подойдет.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Объяснение жизненной ситуации можно начинать с фраз «Если» или «Когда», можно обращаться на «вы».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Нельзя писать «вы» с заглавной буквы. Нельзя использовать длинные перечисления случаев или ситуаций (более пяти). Если нужно перечислить много случаев, то они группируются:</w:t>
      </w:r>
    </w:p>
    <w:tbl>
      <w:tblPr>
        <w:tblStyle w:val="Table2"/>
        <w:bidi w:val="0"/>
        <w:tblW w:w="8340.0" w:type="dxa"/>
        <w:jc w:val="left"/>
        <w:tblInd w:w="660.0" w:type="dxa"/>
        <w:tblLayout w:type="fixed"/>
        <w:tblLook w:val="0600"/>
      </w:tblPr>
      <w:tblGrid>
        <w:gridCol w:w="4155"/>
        <w:gridCol w:w="4185"/>
        <w:tblGridChange w:id="0">
          <w:tblGrid>
            <w:gridCol w:w="4155"/>
            <w:gridCol w:w="4185"/>
          </w:tblGrid>
        </w:tblGridChange>
      </w:tblGrid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Нет: формально верно, но слишком много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Да: сгруппировано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У вас изменилось имя, фамилия, отчество, пол или внешность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У вас изменились личные данные или внешность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конце абзаца формулируется польза: что дает использование услуги. Допустимо писать о простой подаче документов, оформлении документов через интернет, помощи со стороны портала и любых других преимуществах.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2yunr2f7gnj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8oquuok2nkt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y1pxia16odau" w:id="6"/>
      <w:bookmarkEnd w:id="6"/>
      <w:r w:rsidDel="00000000" w:rsidR="00000000" w:rsidRPr="00000000">
        <w:rPr>
          <w:rtl w:val="0"/>
        </w:rPr>
        <w:t xml:space="preserve">Общий порядок получения услуги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Вторым абзацем приводится последовательность основных шагов. Шаги распределяются согласно физическим перемещениям пользователя. Если все действия совершаются в интернете за один подход, то эти действия включаются в один шаг. Если нужно что-то сделать в интернете и отдельно оплатить пошлину — два шага. Если внутри одного места или времени нужно сделать несколько действий, они не разделяются по шагам, а пишутся в одном шаге: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Как оформить паспорт гражданина: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Заполняете электронное заявление на портале госуслуг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Оплачиваете госпошлину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Приносите оригиналы документов в отделение ФМС, отдаете их без очереди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Вас приглашают в ФМС к определенному времени, чтобы забрать новый паспорт. Если время неудобное, его можно изменить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Приведенный текст должен давать общее представление о порядке оказания услуг, но не быть инструкцией к получению услуги. Подробная инструкция с детализацией всех документов прописана на портале госуслуг.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rr039lfg8s70" w:id="7"/>
      <w:bookmarkEnd w:id="7"/>
      <w:r w:rsidDel="00000000" w:rsidR="00000000" w:rsidRPr="00000000">
        <w:rPr>
          <w:rtl w:val="0"/>
        </w:rPr>
        <w:t xml:space="preserve">Перечень документов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После последовательности действий приведите принципиальный перечень документов. По перечню читатель должен составить общее впечатление о нужных документах, оценить сложность их сбора.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Действующий гражданский паспорт в перечне документов не указываем.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есть несколько взаимозаменяемых документов, которые выполняют одну и ту же функцию — пишем о функции, а не перечисляем конкретные документы. Например, «документ, подтверждеющий ваше право на машину».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Необязательные документы объединяем в общи пункт, согласно их функции. Например, «любые другие документы, отметки из которых потребуются в новом паспорте».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Общее правило — описание услуги должно давать общее представление о смысле услуги и процессе получения, а не перечислять все возможные условия и случаи. Человек должен понять ситуацию в целом, а не все ее тонкости и нюансы. Инструкция к услуге и все формальные условия будут перечислены на портале госуслуг.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zcwd2wk1zkha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55dst4w6oq50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4ufiixgpu65u" w:id="10"/>
      <w:bookmarkEnd w:id="10"/>
      <w:r w:rsidDel="00000000" w:rsidR="00000000" w:rsidRPr="00000000">
        <w:rPr>
          <w:rtl w:val="0"/>
        </w:rPr>
        <w:t xml:space="preserve">Ограничения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услуга доступна определенному сегменту пользователей или ограничена территориально, или есть какие-то другие ограничивающие факторы, напишите об этом в конце: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Услуга доступна пользователям портала, которые подтвердили личность в центре регистрации, по почте или с помощью электронной подписи.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Услуга недоступна жителям Москвы и Крыма.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Услуга доступна только жителям Новосибирска.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Услуга доступна только водителям, ранее получавшим права через портал госуслуг.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naxzuiavhyhj" w:id="11"/>
      <w:bookmarkEnd w:id="11"/>
      <w:r w:rsidDel="00000000" w:rsidR="00000000" w:rsidRPr="00000000">
        <w:rPr>
          <w:rtl w:val="0"/>
        </w:rPr>
        <w:t xml:space="preserve">Дополнительно: ссылки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 необходимости в конце описания можно поставить ссылку на портал. Возможны несколько форматов.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 xml:space="preserve">Простой текст (для описаний, которые не поддерживают HTML)</w:t>
      </w:r>
      <w:r w:rsidDel="00000000" w:rsidR="00000000" w:rsidRPr="00000000">
        <w:rPr>
          <w:rtl w:val="0"/>
        </w:rPr>
        <w:br w:type="textWrapping"/>
        <w:tab/>
        <w:t xml:space="preserve">Подробнее на портале госуслуг: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https://beta.gosuslugi.ru/10042/1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 xml:space="preserve">Ссылка с HTML</w:t>
      </w:r>
      <w:r w:rsidDel="00000000" w:rsidR="00000000" w:rsidRPr="00000000">
        <w:rPr>
          <w:rtl w:val="0"/>
        </w:rPr>
        <w:br w:type="textWrapping"/>
        <w:tab/>
        <w:t xml:space="preserve">Подробнее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на портале госуслуг →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 xml:space="preserve">Кнопка</w:t>
      </w:r>
      <w:r w:rsidDel="00000000" w:rsidR="00000000" w:rsidRPr="00000000">
        <w:rPr>
          <w:rtl w:val="0"/>
        </w:rPr>
        <w:br w:type="textWrapping"/>
        <w:tab/>
        <w:t xml:space="preserve">[Получить на госуслугах...]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Предпочтительно, чтобы ссылки или кнопки были встроены в интерфейс сайта-партнера и были оформлены в соответствии с визуальным стилем госуслуг.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pj14um6n10wr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q4br9ab14rh5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ase8yfy7chfp" w:id="14"/>
      <w:bookmarkEnd w:id="14"/>
      <w:r w:rsidDel="00000000" w:rsidR="00000000" w:rsidRPr="00000000">
        <w:rPr>
          <w:rtl w:val="0"/>
        </w:rPr>
        <w:t xml:space="preserve">Примеры описания госуслуг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b7a4bh2rsh4z" w:id="15"/>
      <w:bookmarkEnd w:id="15"/>
      <w:r w:rsidDel="00000000" w:rsidR="00000000" w:rsidRPr="00000000">
        <w:rPr>
          <w:rtl w:val="0"/>
        </w:rPr>
        <w:t xml:space="preserve">Оформление паспорта гражданина РФ. Электронная госуслуга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подадите документы на новый паспорт и вас пригласят, чтобы его получить.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 оформить паспорт гражданина: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Заполняете электронное заявление на портале госуслуг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Оплачиваете госпошлину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Приносите оригиналы документов в отделение ФМС, отдаете их без очереди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Вас приглашают в ФМС к определенному времени, чтобы забрать новый паспорт. Если время неудобное, его можно изменить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 т. 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Услуга доступна пользователям портала, которые подтвердили личность в центре регистрации, по почте или с помощью электронной подписи.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Подробнее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на портале госуслуг →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trjvrh6pg64d" w:id="16"/>
      <w:bookmarkEnd w:id="16"/>
      <w:r w:rsidDel="00000000" w:rsidR="00000000" w:rsidRPr="00000000">
        <w:rPr>
          <w:rtl w:val="0"/>
        </w:rPr>
        <w:t xml:space="preserve">Постановка машины на учет в ГИБДД. Электронная госуслуга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вы купили машину, мотоцикл или </w:t>
      </w:r>
      <w:r w:rsidDel="00000000" w:rsidR="00000000" w:rsidRPr="00000000">
        <w:rPr>
          <w:rtl w:val="0"/>
        </w:rPr>
        <w:t xml:space="preserve">другое транспортное средство</w:t>
      </w:r>
      <w:r w:rsidDel="00000000" w:rsidR="00000000" w:rsidRPr="00000000">
        <w:rPr>
          <w:rtl w:val="0"/>
        </w:rPr>
        <w:t xml:space="preserve">, его нужно поставить на учет в отделении ГИБДД и получить свидетельство о госрегистрации. Электронная госуслуга поможет легко подать документы на регистрацию.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 поставить машину на учет: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Заполняете электронное заявление на портале госуслуг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Оплачиваете госпошлину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Приносите оригиналы документов в отделение ГИБДД без очереди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Вас приглашают в ГИБДД к определенному времени, чтобы забрать готовые документы. Если время неудобное, его можно изменить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Вам потребуется ПТС, акт осмотра транспортного средства, полис ОСАГО и документы, которые подтверждают ваше право на машину — например, договор купли-продажи.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Услуга доступна пользователям портала, которые подтвердили личность в центре регистрации, по почте или с помощью электронной подписи.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[Получить на госуслугах...]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eta.gosuslugi.ru/10042/1" TargetMode="External"/><Relationship Id="rId6" Type="http://schemas.openxmlformats.org/officeDocument/2006/relationships/hyperlink" Target="https://beta.gosuslugi.ru/10042/1" TargetMode="External"/><Relationship Id="rId7" Type="http://schemas.openxmlformats.org/officeDocument/2006/relationships/hyperlink" Target="https://beta.gosuslugi.ru/10052" TargetMode="External"/></Relationships>
</file>