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both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-406400</wp:posOffset>
            </wp:positionV>
            <wp:extent cx="573405" cy="660400"/>
            <wp:effectExtent l="0" t="0" r="0" b="0"/>
            <wp:wrapTight wrapText="bothSides">
              <wp:wrapPolygon>
                <wp:start x="5474" y="0"/>
                <wp:lineTo x="-360" y="2445"/>
                <wp:lineTo x="-360" y="17168"/>
                <wp:lineTo x="2565" y="19614"/>
                <wp:lineTo x="6930" y="20829"/>
                <wp:lineTo x="13484" y="20829"/>
                <wp:lineTo x="17879" y="19614"/>
                <wp:lineTo x="20774" y="17168"/>
                <wp:lineTo x="20774" y="2445"/>
                <wp:lineTo x="14954" y="0"/>
                <wp:lineTo x="5474" y="0"/>
              </wp:wrapPolygon>
            </wp:wrapTight>
            <wp:docPr id="1" name="Рисунок 11" descr="G:\work\ДСМИ\11общие материалы\Герб округа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G:\work\ДСМИ\11общие материалы\Герб округа cop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</w:pPr>
      <w:r>
        <w:t xml:space="preserve">                    </w:t>
      </w:r>
    </w:p>
    <w:p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Департамент социального развит</w:t>
      </w:r>
      <w:r>
        <w:rPr>
          <w:rFonts w:ascii="Times New Roman" w:hAnsi="Times New Roman" w:cs="Times New Roman"/>
          <w:lang w:val="ru-RU"/>
        </w:rPr>
        <w:t>ия</w:t>
      </w:r>
    </w:p>
    <w:p>
      <w:pPr>
        <w:ind w:firstLine="1300" w:firstLineChars="650"/>
        <w:jc w:val="both"/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134620</wp:posOffset>
            </wp:positionV>
            <wp:extent cx="1226820" cy="633730"/>
            <wp:effectExtent l="0" t="0" r="49530" b="33020"/>
            <wp:wrapTight wrapText="bothSides">
              <wp:wrapPolygon>
                <wp:start x="6037" y="0"/>
                <wp:lineTo x="0" y="2597"/>
                <wp:lineTo x="0" y="18830"/>
                <wp:lineTo x="6373" y="20778"/>
                <wp:lineTo x="14758" y="20778"/>
                <wp:lineTo x="21130" y="18830"/>
                <wp:lineTo x="21130" y="2597"/>
                <wp:lineTo x="15093" y="0"/>
                <wp:lineTo x="6037" y="0"/>
              </wp:wrapPolygon>
            </wp:wrapTight>
            <wp:docPr id="2" name="Рисунок 5" descr="C:\Users\НиколаеваОА\Desktop\Фото, изображения\logo_new (1)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C:\Users\НиколаеваОА\Desktop\Фото, изображения\logo_new (1)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Ханты-Мансийского автономного округа –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Югры</w:t>
      </w:r>
    </w:p>
    <w:p>
      <w:pPr>
        <w:ind w:firstLine="1960" w:firstLineChars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ind w:firstLine="1540" w:firstLineChars="5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учреждение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>
      <w:pPr>
        <w:ind w:firstLine="2940" w:firstLineChars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«Няганский комплексный центр</w:t>
      </w:r>
    </w:p>
    <w:p>
      <w:pPr>
        <w:ind w:firstLine="2380" w:firstLineChars="850"/>
        <w:jc w:val="both"/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  <w:bookmarkStart w:id="0" w:name="_GoBack"/>
      <w:bookmarkEnd w:id="0"/>
    </w:p>
    <w:p>
      <w:pPr>
        <w:tabs>
          <w:tab w:val="center" w:pos="4677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numPr>
          <w:ilvl w:val="0"/>
          <w:numId w:val="0"/>
        </w:numPr>
        <w:shd w:val="clear" w:color="auto" w:fill="FFFFFF"/>
        <w:spacing w:line="270" w:lineRule="atLeast"/>
        <w:ind w:hanging="567"/>
        <w:jc w:val="center"/>
        <w:outlineLvl w:val="2"/>
        <w:rPr>
          <w:rFonts w:cs="Times New Roman"/>
          <w:b/>
          <w:color w:val="323E4F"/>
          <w:sz w:val="40"/>
          <w:szCs w:val="40"/>
        </w:rPr>
      </w:pPr>
      <w:r>
        <w:rPr>
          <w:rFonts w:cs="Times New Roman"/>
          <w:b/>
          <w:color w:val="323E4F"/>
          <w:sz w:val="36"/>
          <w:szCs w:val="36"/>
        </w:rPr>
        <w:t xml:space="preserve">Публичный отчет </w:t>
      </w:r>
    </w:p>
    <w:p>
      <w:pPr>
        <w:numPr>
          <w:ilvl w:val="0"/>
          <w:numId w:val="0"/>
        </w:numPr>
        <w:shd w:val="clear" w:color="auto" w:fill="FFFFFF"/>
        <w:spacing w:line="270" w:lineRule="atLeast"/>
        <w:ind w:hanging="851"/>
        <w:jc w:val="center"/>
        <w:outlineLvl w:val="2"/>
        <w:rPr>
          <w:rFonts w:cs="Times New Roman"/>
          <w:b/>
          <w:color w:val="323E4F"/>
          <w:sz w:val="40"/>
          <w:szCs w:val="40"/>
        </w:rPr>
      </w:pPr>
      <w:r>
        <w:rPr>
          <w:rFonts w:cs="Times New Roman"/>
          <w:b/>
          <w:color w:val="323E4F"/>
          <w:sz w:val="36"/>
          <w:szCs w:val="36"/>
        </w:rPr>
        <w:t xml:space="preserve">о развитии добровольчества (волонтерства) </w:t>
      </w:r>
    </w:p>
    <w:p>
      <w:pPr>
        <w:numPr>
          <w:ilvl w:val="0"/>
          <w:numId w:val="0"/>
        </w:numPr>
        <w:shd w:val="clear" w:color="auto" w:fill="FFFFFF"/>
        <w:spacing w:line="270" w:lineRule="atLeast"/>
        <w:ind w:hanging="851"/>
        <w:jc w:val="center"/>
        <w:outlineLvl w:val="2"/>
        <w:rPr>
          <w:rFonts w:cs="Times New Roman"/>
          <w:b/>
          <w:color w:val="323E4F"/>
          <w:sz w:val="36"/>
          <w:szCs w:val="36"/>
        </w:rPr>
      </w:pPr>
      <w:r>
        <w:rPr>
          <w:rFonts w:cs="Times New Roman"/>
          <w:b/>
          <w:color w:val="323E4F"/>
          <w:sz w:val="36"/>
          <w:szCs w:val="36"/>
        </w:rPr>
        <w:t>в 20</w:t>
      </w:r>
      <w:r>
        <w:rPr>
          <w:rFonts w:cs="Times New Roman"/>
          <w:b/>
          <w:color w:val="323E4F"/>
          <w:sz w:val="36"/>
          <w:szCs w:val="36"/>
          <w:u w:val="single"/>
        </w:rPr>
        <w:t>2</w:t>
      </w:r>
      <w:r>
        <w:rPr>
          <w:rFonts w:hint="default" w:cs="Times New Roman"/>
          <w:b/>
          <w:color w:val="323E4F"/>
          <w:sz w:val="36"/>
          <w:szCs w:val="36"/>
          <w:u w:val="single"/>
          <w:lang w:val="ru-RU"/>
        </w:rPr>
        <w:t>2</w:t>
      </w:r>
      <w:r>
        <w:rPr>
          <w:rFonts w:cs="Times New Roman"/>
          <w:b/>
          <w:color w:val="323E4F"/>
          <w:sz w:val="36"/>
          <w:szCs w:val="36"/>
          <w:u w:val="single"/>
        </w:rPr>
        <w:t xml:space="preserve"> </w:t>
      </w:r>
      <w:r>
        <w:rPr>
          <w:rFonts w:cs="Times New Roman"/>
          <w:b/>
          <w:color w:val="323E4F"/>
          <w:sz w:val="36"/>
          <w:szCs w:val="36"/>
        </w:rPr>
        <w:t>году</w:t>
      </w:r>
    </w:p>
    <w:p>
      <w:pPr>
        <w:numPr>
          <w:ilvl w:val="0"/>
          <w:numId w:val="0"/>
        </w:numPr>
        <w:shd w:val="clear" w:color="auto" w:fill="FFFFFF"/>
        <w:spacing w:line="270" w:lineRule="atLeast"/>
        <w:ind w:hanging="851"/>
        <w:jc w:val="center"/>
        <w:outlineLvl w:val="2"/>
        <w:rPr>
          <w:rFonts w:cs="Times New Roman"/>
          <w:b/>
          <w:color w:val="323E4F"/>
          <w:sz w:val="36"/>
          <w:szCs w:val="36"/>
        </w:rPr>
      </w:pPr>
    </w:p>
    <w:p>
      <w:pPr>
        <w:numPr>
          <w:ilvl w:val="0"/>
          <w:numId w:val="0"/>
        </w:numPr>
        <w:shd w:val="clear" w:color="auto" w:fill="FFFFFF"/>
        <w:spacing w:line="270" w:lineRule="atLeast"/>
        <w:ind w:hanging="851"/>
        <w:jc w:val="center"/>
        <w:outlineLvl w:val="2"/>
        <w:rPr>
          <w:rFonts w:cs="Times New Roman"/>
          <w:b/>
          <w:color w:val="323E4F"/>
        </w:rPr>
      </w:pPr>
    </w:p>
    <w:tbl>
      <w:tblPr>
        <w:tblStyle w:val="3"/>
        <w:tblW w:w="9618" w:type="dxa"/>
        <w:tblInd w:w="-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65"/>
        <w:gridCol w:w="285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Контактные данные учреждения социального обслуживания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Директор учреждениями</w:t>
            </w:r>
          </w:p>
          <w:p>
            <w:pPr>
              <w:pStyle w:val="2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социального обслуживания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7"/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628187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ХМАО-Югра, г. Нягань,</w:t>
            </w:r>
          </w:p>
          <w:p>
            <w:pPr>
              <w:pStyle w:val="27"/>
              <w:jc w:val="both"/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ул. 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Чернышова, д.25</w:t>
            </w:r>
          </w:p>
        </w:tc>
        <w:tc>
          <w:tcPr>
            <w:tcW w:w="28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Медведева </w:t>
            </w:r>
          </w:p>
          <w:p>
            <w:pPr>
              <w:pStyle w:val="24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Виринея Николаевна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E-mail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"https://e.mail.ru/compose?To=nyagankcson@admhmao.ru" \h </w:instrTex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9"/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highlight w:val="white"/>
                <w14:textFill>
                  <w14:solidFill>
                    <w14:schemeClr w14:val="tx1"/>
                  </w14:solidFill>
                </w14:textFill>
              </w:rPr>
              <w:t>nyagankcson@admhmao.ru</w:t>
            </w:r>
            <w:r>
              <w:rPr>
                <w:rStyle w:val="19"/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highlight w:val="whit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6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Телефон: 8(34672) 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5-55-57 (доб.003)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официальный сайт: 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https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://86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kcson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ru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за развитие добровольчества (волонтерства)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65" w:type="dxa"/>
            <w:vMerge w:val="restart"/>
            <w:tcBorders>
              <w:lef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ылки на имеющиеся социальные сети: 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"https://ok.ru/group/53218932818091" \h </w:instrTex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9"/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https://ok.ru/group/53218932818091</w:t>
            </w:r>
            <w:r>
              <w:rPr>
                <w:rStyle w:val="19"/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"https://vk.com/public123786034" \h </w:instrTex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9"/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https://vk.com/public123786034</w:t>
            </w:r>
            <w:r>
              <w:rPr>
                <w:rStyle w:val="19"/>
                <w:rFonts w:hint="default"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Новоселова </w:t>
            </w:r>
          </w:p>
          <w:p>
            <w:pPr>
              <w:pStyle w:val="24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Энже Фахертдиновна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65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Координатор развития добровольчества (волонтерства)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76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Новоселова </w:t>
            </w:r>
          </w:p>
          <w:p>
            <w:pPr>
              <w:pStyle w:val="24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Энже Фахертдиновна</w:t>
            </w:r>
          </w:p>
        </w:tc>
      </w:tr>
    </w:tbl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sectPr>
          <w:pgSz w:w="11906" w:h="16838"/>
          <w:pgMar w:top="1134" w:right="850" w:bottom="1134" w:left="1701" w:header="0" w:footer="0" w:gutter="0"/>
          <w:pgNumType w:fmt="decimal" w:start="1"/>
          <w:cols w:space="0" w:num="1"/>
          <w:formProt w:val="0"/>
          <w:rtlGutter w:val="0"/>
          <w:docGrid w:linePitch="360" w:charSpace="0"/>
        </w:sect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hint="default" w:ascii="Times New Roman" w:hAnsi="Times New Roman"/>
          <w:b/>
          <w:sz w:val="28"/>
          <w:szCs w:val="28"/>
          <w:u w:val="single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sz w:val="28"/>
          <w:szCs w:val="28"/>
          <w:highlight w:val="white"/>
        </w:rPr>
        <w:t>Развитие и поддержка добровольчества со стороны общества и государства в настоящее время</w:t>
      </w:r>
      <w:r>
        <w:rPr>
          <w:rFonts w:hint="default" w:ascii="Times New Roman" w:hAnsi="Times New Roman" w:cs="Times New Roman"/>
          <w:sz w:val="28"/>
          <w:szCs w:val="28"/>
          <w:highlight w:val="white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white"/>
          <w:lang w:val="ru-RU"/>
        </w:rPr>
        <w:t xml:space="preserve">это </w:t>
      </w:r>
      <w:r>
        <w:rPr>
          <w:rFonts w:hint="default" w:ascii="Times New Roman" w:hAnsi="Times New Roman" w:cs="Times New Roman"/>
          <w:sz w:val="28"/>
          <w:szCs w:val="28"/>
          <w:highlight w:val="white"/>
        </w:rPr>
        <w:t>один из реальных путей предоставления дополнительных социальных услуг нуждающимся категориям граждан.</w:t>
      </w:r>
    </w:p>
    <w:p>
      <w:pPr>
        <w:shd w:val="clear" w:color="auto" w:fill="FFFFFF"/>
        <w:spacing w:line="360" w:lineRule="auto"/>
        <w:ind w:firstLine="700" w:firstLineChars="2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основе мотивов, побуждающих людей к добровольной работе в социальной сфере, лежит значительный спектр индивидуальных и социальных потребностей, присущих каждому человеку: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 xml:space="preserve">потребность в общении и стремление быть социально полезным другим людям, потребность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положительно </w:t>
      </w:r>
      <w:r>
        <w:rPr>
          <w:rFonts w:hint="default" w:ascii="Times New Roman" w:hAnsi="Times New Roman" w:cs="Times New Roman"/>
          <w:sz w:val="28"/>
          <w:szCs w:val="28"/>
        </w:rPr>
        <w:t>влиять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окружающую их обстановку</w:t>
      </w:r>
      <w:r>
        <w:rPr>
          <w:rFonts w:hint="default" w:ascii="Times New Roman" w:hAnsi="Times New Roman" w:cs="Times New Roman"/>
          <w:sz w:val="28"/>
          <w:szCs w:val="28"/>
        </w:rPr>
        <w:t xml:space="preserve"> и участвовать в социальных изменениях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желание реализовать себя, свои инициативы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потребность в милосердии, доброте, подвижничестве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стремление решать проблемы других людей и свои собственные. 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contextualSpacing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Добровольчество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сфере социальной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защиты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 социального обслуживания населения включает участие добровольцев в оказании безвозмездной помощи гражданам, нуждающимся в социальной поддержке и социальном обслуживании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участие в гражданско-патриотических мероприятиях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37" w:firstLineChars="192"/>
        <w:contextualSpacing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Цель: создание условий для вовлечения волонтёрских объединений </w:t>
      </w:r>
      <w:r>
        <w:rPr>
          <w:rStyle w:val="5"/>
          <w:rFonts w:hint="default" w:ascii="Times New Roman" w:hAnsi="Times New Roman" w:cs="Times New Roman"/>
          <w:b w:val="0"/>
          <w:color w:val="000000" w:themeColor="text1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>в социально-значимую активную деятельность и качественное предоставление помощи</w:t>
      </w:r>
      <w:r>
        <w:rPr>
          <w:rStyle w:val="5"/>
          <w:rFonts w:hint="default"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ru-RU"/>
          <w14:textFill>
            <w14:solidFill>
              <w14:schemeClr w14:val="tx1"/>
            </w14:solidFill>
          </w14:textFill>
        </w:rPr>
        <w:t xml:space="preserve"> нуждающимся категориям граждан.</w:t>
      </w:r>
    </w:p>
    <w:p>
      <w:pPr>
        <w:pStyle w:val="14"/>
        <w:shd w:val="clear" w:color="auto" w:fill="FFFFFF"/>
        <w:spacing w:before="280" w:beforeAutospacing="0" w:afterAutospacing="0" w:line="360" w:lineRule="auto"/>
        <w:ind w:left="286" w:leftChars="0" w:firstLine="286" w:firstLineChars="0"/>
        <w:contextualSpacing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Задачи: 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contextualSpacing/>
        <w:jc w:val="both"/>
        <w:textAlignment w:val="auto"/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- в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</w:rPr>
        <w:t>ыяв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  <w:t>ление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</w:rPr>
        <w:t xml:space="preserve"> потребнос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  <w:t>тей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</w:rPr>
        <w:t xml:space="preserve"> граждан в получени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  <w:t>и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</w:rPr>
        <w:t xml:space="preserve"> всесторонней помощи от добровольцев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  <w:t>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contextualSpacing/>
        <w:jc w:val="both"/>
        <w:textAlignment w:val="auto"/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- формирование и повышение 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</w:rPr>
        <w:t>необходимы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  <w:t>х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</w:rPr>
        <w:t xml:space="preserve"> компетенции и практическ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  <w:t>их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</w:rPr>
        <w:t xml:space="preserve"> навык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  <w:t>ов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</w:rPr>
        <w:t xml:space="preserve"> для осуществления добровольческой деятельности по различным (выбранным) направлениям</w:t>
      </w: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  <w:t>;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contextualSpacing/>
        <w:jc w:val="both"/>
        <w:textAlignment w:val="auto"/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sz w:val="28"/>
          <w:szCs w:val="28"/>
          <w:highlight w:val="white"/>
          <w:shd w:val="clear" w:color="auto" w:fill="FFFFFF"/>
          <w:lang w:val="ru-RU"/>
        </w:rPr>
        <w:t>- обеспечение координации и сопровождения деятельности волонтёров при оказании помощи.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537" w:firstLineChars="192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Для реализации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волонтёрской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деятельности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используются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формы работы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индивидуальные:</w:t>
      </w:r>
      <w:r>
        <w:rPr>
          <w:rFonts w:hint="default" w:ascii="Times New Roman" w:hAnsi="Times New Roman" w:cs="Times New Roman"/>
          <w:sz w:val="28"/>
          <w:szCs w:val="28"/>
        </w:rPr>
        <w:t xml:space="preserve"> практические занятия, консультирование, беседы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групповы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е: </w:t>
      </w:r>
      <w:r>
        <w:rPr>
          <w:rFonts w:hint="default" w:ascii="Times New Roman" w:hAnsi="Times New Roman" w:cs="Times New Roman"/>
          <w:sz w:val="28"/>
          <w:szCs w:val="28"/>
        </w:rPr>
        <w:t>семинары, тематические лекции, досуговые и культурно-массовые мероприятия, акции, вебинары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дистанционные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онлайн-встречи, онлайн-мероприятия.</w:t>
      </w:r>
    </w:p>
    <w:p>
      <w:pPr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Основная часть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>С 2016 года в учреждении реализуется программа «Волонтеры «серебряного» возраста». По состоянию на конец 20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22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 года в реестре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добровольцев состоит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>32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 участник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«серебряного» возраста и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>26 человек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из числа корпоративных волонтёров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На официальном сайте учреждения разработан и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ведётся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 раздел «Волонтёрская деятельность».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 xml:space="preserve">уратор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волонтёрской</w:t>
      </w:r>
      <w:r>
        <w:rPr>
          <w:rFonts w:hint="default"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 -</w:t>
      </w:r>
      <w:r>
        <w:rPr>
          <w:rFonts w:hint="default" w:ascii="Times New Roman" w:hAnsi="Times New Roman" w:cs="Times New Roman"/>
          <w:sz w:val="28"/>
          <w:szCs w:val="28"/>
        </w:rPr>
        <w:t xml:space="preserve"> методист отделения информационно-аналитической работы.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Для участия в масштабных событиях, получения опыта, для повышения компетенции, волонтёры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ходят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обучение на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платформе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DOBRO.RU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участвуя в семинарах и обучаясь на курсах повышения квалификации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, организованн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ых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БУ «Ресурсный центр развития социального обслуживания».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обровольц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>, обучивши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ся по программам для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волонтёров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платформе «Добро-университет»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"https://edu.dobro.ru/"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19"/>
          <w:rFonts w:hint="default" w:ascii="Times New Roman" w:hAnsi="Times New Roman" w:cs="Times New Roman"/>
          <w:sz w:val="28"/>
          <w:szCs w:val="28"/>
        </w:rPr>
        <w:t>https://edu.dobro.ru/</w:t>
      </w:r>
      <w:r>
        <w:rPr>
          <w:rStyle w:val="19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) - 2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человек: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>-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«Онлайн-курс по основам волонтерства для нынешних и будущих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волонтёров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>»;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>«Основы волонтерства для начинающих»;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-  </w:t>
      </w:r>
      <w:r>
        <w:rPr>
          <w:rFonts w:hint="default" w:ascii="Times New Roman" w:hAnsi="Times New Roman" w:eastAsia="SimSun" w:cs="Times New Roman"/>
          <w:sz w:val="28"/>
          <w:szCs w:val="28"/>
        </w:rPr>
        <w:t>«Голосование за благоустройство общественных пространств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«Волонтёрство</w:t>
      </w:r>
      <w:r>
        <w:rPr>
          <w:rFonts w:hint="default" w:ascii="Times New Roman" w:hAnsi="Times New Roman" w:cs="Times New Roman"/>
          <w:sz w:val="28"/>
          <w:szCs w:val="28"/>
        </w:rPr>
        <w:t xml:space="preserve"> в сфере культуры. Базовый курс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«Лидерство и командообразование. Базовый курс»;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«Нормы и правила поведения волонтёра»;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«Эффективные коммуникации»;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Повышение квалификации по программе «Социальный проект: от идеи до гранта»;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Обучение в рамках онлайн-марафона по социальному проектированию «Соцзавод».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БУ «Ресурсный центр развития социального обслуживания»: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курсы повышения квалификации «Школа социального проектирования»;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курсы повышения квалификации «Организация деятельности добровольцев (волонтеров) по профилактике суицидального поведения среди детей и подростков»;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курсы повышения квалификации «Школа социального проектирования»;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семинар «Оказание помощи семьям, испытывающим трудности в воспитании детей» (уровень волонтёры «начинающие»);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семинар «Оказание помощи гражданам пожилого возраста и инвалидам, имеющим тяжёлые ограничения жизнедеятельности» (уровень -волонтёры «уверенные»).</w:t>
      </w:r>
    </w:p>
    <w:p>
      <w:pPr>
        <w:spacing w:after="0" w:line="360" w:lineRule="auto"/>
        <w:ind w:firstLine="420" w:firstLineChars="150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Учреждением заключены соглашения по совместной деятельности  с привлечением добровольцев (волонтеров) с Местной религиозной организацией «Православный Приход соборного храма святителя Алексия Московского», Всероссийской общественной организацией «Союз добровольцев России»,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eastAsia="en-US"/>
        </w:rPr>
        <w:t xml:space="preserve">МАУК МО г.Нягани «Дом молодежи», МАУК МО городской культурный центр «Планета». В рамках заключённых соглашений проводятся совместные мероприятия, акции,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приуроченные к праздничным и памятным датам.</w:t>
      </w:r>
    </w:p>
    <w:p>
      <w:pPr>
        <w:spacing w:after="0" w:line="360" w:lineRule="auto"/>
        <w:ind w:firstLine="420" w:firstLineChars="150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Для проведения в учреждении совместных мероприятий привлекаются добровольческие объединения: МАУК МО городской культурный центр «Планета»,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eastAsia="zh-CN"/>
        </w:rPr>
        <w:t xml:space="preserve">Гуманитарный Добровольческий Корпус,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«ООО Российский Красный Крест по ХМАО-Югре, города Нягани»,  Няганское отделение Международного клуба «28 петель», АНО «Волонтёрский корпус «Журавлик. Крылья», куратор проекта «Добрые крышечки» в городе Нягань, волонтерский отряд  «Импульс»,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 w:eastAsia="zh-CN"/>
        </w:rPr>
        <w:t>#Вещеворот_86.</w:t>
      </w:r>
    </w:p>
    <w:p>
      <w:pPr>
        <w:spacing w:after="0" w:line="360" w:lineRule="auto"/>
        <w:ind w:firstLine="420" w:firstLineChars="150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 рамках различных акций и праздничных мероприятий добровольческие объединения города оказывают всестороннюю помощь для граждан пожилого возраста и инвалидов,  участников Великой Отечественной войны и людей, попавших в трудную жизненную ситуацию.</w:t>
      </w:r>
    </w:p>
    <w:p>
      <w:pPr>
        <w:spacing w:after="0" w:line="360" w:lineRule="auto"/>
        <w:ind w:firstLine="420" w:firstLineChars="150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С 24 по 30 января 2022 годаволонтёры приняли участие в «Марафоне добрых дел», в рамках  которого участники совершали добрые дела: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акция «Сытая птица мороза не боится» - изготовление кормушек для птиц; 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сортировка мусора;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сбор макулатуры  и  отработанных батареек;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сбор «добрых» крышечек; 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отказ от пластиковых пакетов в пользу холщовых;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покупка корма для собак, покупка детского питания.</w:t>
      </w:r>
    </w:p>
    <w:p>
      <w:pPr>
        <w:spacing w:after="0" w:line="360" w:lineRule="auto"/>
        <w:ind w:left="6" w:leftChars="0" w:firstLine="566" w:firstLineChars="0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В течение 2022 года добровольцы приняли участие: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во Всероссийской акции «Блокадный хлеб»;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в акции «Посылка солдату»;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во Всероссийской благотворительной акции «Красная гвоздика»;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в акция «Бессмертный полк»;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в митинге у памятника военной медицинской сестре;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 в акции #времяпомогать (для жителей Донецка и Луганска добровольцами приобретены продукты и предметы первой необходимости);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 в федеральном проекте «Формирование комфортной городской среды»;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экологическая акция «Чистый берег»;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 во всероссийской акции взаимопомощи «Мы вместе», поздравление врачей красной зоны;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 в Чемпионате России по спортивному туризму на лыжных дистанциях в качестве волонтёров;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в акции по сбору помощи участникам специальной военной операции «Подари тепло защитнику»;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 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крупнейш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ем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молодёжн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ом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форум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«Утро»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(г. Ханты-Мансийск);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- в благотворительной акции «Собери ребёнка в школу», помощь по подготовке  детей из неполных и многодетных семей к 2022-2023 учебному году; 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участие в сборе и сортировке гуманитарной помощи для жителей Донецкой и Луганской народных республик;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- участие в региональном этапе Международной премии #МЫВМЕСТЕ;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- в 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региональн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тренинг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для активных «серебряных» добровольцев «Добро без возраста»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 г.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Ханты-Мансийск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</w:p>
    <w:p>
      <w:pPr>
        <w:spacing w:after="0" w:line="360" w:lineRule="auto"/>
        <w:contextualSpacing/>
        <w:jc w:val="both"/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- участие в 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форум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е 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"https://vk.com/ugranko" </w:instrTex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«Гражданские инициативы регионов 60-ой параллели»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, г. 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Когалым</w:t>
      </w: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;</w:t>
      </w:r>
    </w:p>
    <w:p>
      <w:pPr>
        <w:spacing w:after="0" w:line="360" w:lineRule="auto"/>
        <w:ind w:firstLine="140" w:firstLineChars="50"/>
        <w:contextualSpacing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- «Зимней недели добра в Югре»;</w:t>
      </w:r>
    </w:p>
    <w:p>
      <w:pPr>
        <w:spacing w:after="0" w:line="360" w:lineRule="auto"/>
        <w:ind w:firstLine="140" w:firstLineChars="50"/>
        <w:contextualSpacing/>
        <w:jc w:val="both"/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Noto Sans Armeni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 в поздравлениях тружеников тыла, одиноких граждан старшего поколения и людей с ограниченными возможностями здоровья с Днём защитника Отечества, Международным женским днём, Днём Победы, Новым годом, с днём рождения.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Добровольцы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прин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имают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участие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мероприятиях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сфере сохранения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исторической памяти и гражданско-патриотического воспитания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 «Серебряные» волонтёры принимают активное участие в мероприятиях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 благоустройству памятных мест и воинских захоронений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 м</w:t>
      </w:r>
      <w:r>
        <w:rPr>
          <w:rFonts w:hint="default" w:ascii="Times New Roman" w:hAnsi="Times New Roman" w:cs="Times New Roman"/>
          <w:sz w:val="28"/>
          <w:szCs w:val="28"/>
        </w:rPr>
        <w:t>ероприятия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</w:rPr>
        <w:t xml:space="preserve"> по увековечиванию памяти погибших при защите Отечества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 а</w:t>
      </w:r>
      <w:r>
        <w:rPr>
          <w:rFonts w:hint="default" w:ascii="Times New Roman" w:hAnsi="Times New Roman" w:cs="Times New Roman"/>
          <w:sz w:val="28"/>
          <w:szCs w:val="28"/>
        </w:rPr>
        <w:t>кци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ях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посвящённым</w:t>
      </w:r>
      <w:r>
        <w:rPr>
          <w:rFonts w:hint="default" w:ascii="Times New Roman" w:hAnsi="Times New Roman" w:cs="Times New Roman"/>
          <w:sz w:val="28"/>
          <w:szCs w:val="28"/>
        </w:rPr>
        <w:t xml:space="preserve"> памятным событиям в истории РФ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 xml:space="preserve">«Детство,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опалённое</w:t>
      </w:r>
      <w:r>
        <w:rPr>
          <w:rFonts w:hint="default" w:ascii="Times New Roman" w:hAnsi="Times New Roman" w:cs="Times New Roman"/>
          <w:sz w:val="28"/>
          <w:szCs w:val="28"/>
        </w:rPr>
        <w:t xml:space="preserve"> войной»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«Партизанский отряд»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«Блокадный хлеб». 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Корпоративные волонтёры и волонтёры «серебряного» возраста  приняли участие в </w:t>
      </w:r>
      <w:r>
        <w:rPr>
          <w:rFonts w:hint="default" w:ascii="Times New Roman" w:hAnsi="Times New Roman" w:cs="Times New Roman"/>
          <w:sz w:val="28"/>
          <w:szCs w:val="28"/>
        </w:rPr>
        <w:t>региональн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ом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проект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«Герои газетных статей», направленн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ом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сохранение и популяризацию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военно-исторического документального наследия, увековечиванию памяти о событиях Великой Отечественной войны 1941-1945 годов.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Организаторы проекта - </w:t>
      </w:r>
      <w:r>
        <w:rPr>
          <w:rFonts w:hint="default" w:ascii="Times New Roman" w:hAnsi="Times New Roman" w:cs="Times New Roman"/>
          <w:sz w:val="28"/>
          <w:szCs w:val="28"/>
        </w:rPr>
        <w:t>Архивн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sz w:val="28"/>
          <w:szCs w:val="28"/>
        </w:rPr>
        <w:t xml:space="preserve"> служб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Югры (КУ «Государственный архив Югры») и Ресурсны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 w:cs="Times New Roman"/>
          <w:sz w:val="28"/>
          <w:szCs w:val="28"/>
        </w:rPr>
        <w:t xml:space="preserve"> центр добровольчества (БУ «Ресурсный центр развития социального обслуживания»)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b w:val="0"/>
          <w:bCs w:val="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обровольц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выявл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яли</w:t>
      </w:r>
      <w:r>
        <w:rPr>
          <w:rFonts w:hint="default" w:ascii="Times New Roman" w:hAnsi="Times New Roman" w:cs="Times New Roman"/>
          <w:sz w:val="28"/>
          <w:szCs w:val="28"/>
        </w:rPr>
        <w:t xml:space="preserve"> в газетах, выпускаемых на территории округа  в военные годы, информаци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 xml:space="preserve"> о героях войны, тыла, о событиях военных лет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ru-RU"/>
        </w:rPr>
        <w:t>Во исполнение приказа Депсоцразвития Югры от 02.10.2020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  <w:lang w:eastAsia="ru-RU"/>
        </w:rPr>
        <w:t xml:space="preserve"> №1259-р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  <w:lang w:eastAsia="ru-RU"/>
        </w:rPr>
        <w:t>«Об организации работы учреждений, подведомственных Депсоцразвития Югры, по социально-психологическому сопровождению лиц с инвалидностью добровольцами (волонтерами), профилактике эмоционального выгорания добровольцев (волонтеров), оказывающих социальные услуги»,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9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добровольцев принимают участие в мероприятиях социально-психологического сопровождения лиц с инвалидностью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 проведено 38 мероприятий социально-психологического сопровождения. 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сихологом Учреждения проведено 23 м</w:t>
      </w:r>
      <w:r>
        <w:rPr>
          <w:rFonts w:hint="default" w:ascii="Times New Roman" w:hAnsi="Times New Roman" w:cs="Times New Roman"/>
          <w:sz w:val="28"/>
          <w:szCs w:val="28"/>
        </w:rPr>
        <w:t>ероприяти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я </w:t>
      </w:r>
      <w:r>
        <w:rPr>
          <w:rFonts w:hint="default" w:ascii="Times New Roman" w:hAnsi="Times New Roman" w:cs="Times New Roman"/>
          <w:sz w:val="28"/>
          <w:szCs w:val="28"/>
        </w:rPr>
        <w:t xml:space="preserve"> с добровольцами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 профилактике эмоционального выгорания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в рамках технологии  «Алло, волонтер!» оказана телефонная помощь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63</w:t>
      </w:r>
      <w:r>
        <w:rPr>
          <w:rFonts w:hint="default" w:ascii="Times New Roman" w:hAnsi="Times New Roman" w:cs="Times New Roman"/>
          <w:sz w:val="28"/>
          <w:szCs w:val="28"/>
        </w:rPr>
        <w:t xml:space="preserve"> гражданам пожилого возраста в количестве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314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услуг, в рамках технологии «Добрососед»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69</w:t>
      </w:r>
      <w:r>
        <w:rPr>
          <w:rFonts w:hint="default" w:ascii="Times New Roman" w:hAnsi="Times New Roman" w:cs="Times New Roman"/>
          <w:sz w:val="28"/>
          <w:szCs w:val="28"/>
        </w:rPr>
        <w:t xml:space="preserve"> гражданам, нуждающихся в помощи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волонтёров</w:t>
      </w:r>
      <w:r>
        <w:rPr>
          <w:rFonts w:hint="default" w:ascii="Times New Roman" w:hAnsi="Times New Roman" w:cs="Times New Roman"/>
          <w:sz w:val="28"/>
          <w:szCs w:val="28"/>
        </w:rPr>
        <w:t xml:space="preserve"> из числа соседей оказано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177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результате добровольческой деятельности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33 добровольца (волонтера) сферы социальной защиты и социального обслуживания поощрены и награждены за результат своей добровольческой (волонтерской) деятельности: </w:t>
      </w:r>
    </w:p>
    <w:p>
      <w:pPr>
        <w:spacing w:line="360" w:lineRule="auto"/>
        <w:ind w:firstLine="537" w:firstLineChars="19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Регионального уровня: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-Благодарственное письмо генерального директора Фонда Центра гражданских и социальных инициатив «За помощь в организации новогодней недели добра в Югре» - 2022;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-Специальный диплом регионального этапа трек «Волонтеры», номинация «Помощь людям». За вклад в развитие общественно-значимых и добровольческих проектов в Югре.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Городского уровня: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-Благодарственное письмо  Администрации города Нягань  за участие в качестве добровольцев «Голосование за благоустройство общественных пространств»;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-Благодарность Главы города Нягани в связи с празднованием Международного дня добровольцев;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-Благодарность Главы города Нягани, Председателя Думы города Нягани  в связи с празднованием Международного дня добровольцев «За личный вклад в развитие волонтерского движения города Нягани, за благородное дело, слаженную работу и поддержку городских инициатив, жизненную энергию и теплоту сердца»;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-Благодарственное письмо Комитета по физической культуре, спорту, туризму и молодёжной политике Администрации города Нягань «За помощь в проведении Чемпионата России по спортивному туризму на лыжных дистанциях» - 2022.</w:t>
      </w:r>
    </w:p>
    <w:p>
      <w:pPr>
        <w:spacing w:line="360" w:lineRule="auto"/>
        <w:ind w:firstLine="537" w:firstLineChars="192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На уровне учреждения  32  человека отмечены поощрениями в результате своей добровольческой (волонтерской) деятельности в социальной сфере: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-Благодарственное письмо Администрации БУ «Няганский комплексный центр социального обслуживания населения».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pStyle w:val="14"/>
        <w:spacing w:before="0" w:after="0"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Участие в волонтерском движении способствует изменению мировоззрения  и приносит пользу, как государству, так и самим волонтерам, которые посредством добровольческой деятельности развивают свои умения и навыки, удовлетворяют потребность в общении и самоуважении, осознают свою полезность и нужность, развивают в себе важные личностные качества, на деле следуют своим моральным принципам.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В ходе проведенных обучений все волонтеры получили необходимые для работы с гражданами пожилого возраста и инвалидами знания и приобрели навыки, способствующие оказанию необходимой культурно-просветительской деятельности, бытовой, консультативной, 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>психологической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 xml:space="preserve"> помощи пожилым людям и инвалидам.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 xml:space="preserve">роведены все запланированные мероприятия и акции.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</w:rPr>
        <w:t>обровольческая деятельность  востребована</w:t>
      </w:r>
      <w:r>
        <w:rPr>
          <w:rFonts w:hint="default"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и позволяет удовлетворять потребности граждан, нуждающихся в помощи.</w:t>
      </w:r>
    </w:p>
    <w:p>
      <w:pPr>
        <w:spacing w:line="360" w:lineRule="auto"/>
        <w:ind w:hanging="709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>
      <w:pPr>
        <w:spacing w:line="360" w:lineRule="auto"/>
        <w:ind w:hanging="709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>
      <w:pPr>
        <w:spacing w:line="360" w:lineRule="auto"/>
        <w:ind w:hanging="709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>
      <w:pPr>
        <w:spacing w:line="360" w:lineRule="auto"/>
        <w:ind w:hanging="709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>
      <w:pPr>
        <w:spacing w:line="360" w:lineRule="auto"/>
        <w:ind w:hanging="709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>
      <w:pPr>
        <w:spacing w:line="360" w:lineRule="auto"/>
        <w:ind w:hanging="709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-584" w:leftChars="-300" w:hanging="16" w:hangingChars="6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  <w:sectPr>
          <w:headerReference r:id="rId5" w:type="default"/>
          <w:pgSz w:w="11906" w:h="16838"/>
          <w:pgMar w:top="1134" w:right="850" w:bottom="1134" w:left="1701" w:header="1134" w:footer="0" w:gutter="0"/>
          <w:pgNumType w:fmt="decimal"/>
          <w:cols w:space="0" w:num="1"/>
          <w:formProt w:val="0"/>
          <w:rtlGutter w:val="0"/>
          <w:docGrid w:linePitch="360" w:charSpace="0"/>
        </w:sectPr>
      </w:pPr>
    </w:p>
    <w:p>
      <w:pPr>
        <w:tabs>
          <w:tab w:val="left" w:pos="200"/>
          <w:tab w:val="left" w:pos="7400"/>
        </w:tabs>
        <w:spacing w:line="360" w:lineRule="auto"/>
        <w:jc w:val="both"/>
        <w:rPr>
          <w:rFonts w:hint="default"/>
          <w:lang w:val="ru-RU"/>
        </w:rPr>
      </w:pPr>
    </w:p>
    <w:p>
      <w:pPr>
        <w:tabs>
          <w:tab w:val="left" w:pos="200"/>
          <w:tab w:val="left" w:pos="7400"/>
        </w:tabs>
        <w:spacing w:line="360" w:lineRule="auto"/>
        <w:ind w:hanging="709"/>
        <w:jc w:val="right"/>
        <w:rPr>
          <w:rFonts w:hint="default"/>
          <w:lang w:val="ru-RU"/>
        </w:rPr>
        <w:sectPr>
          <w:type w:val="continuous"/>
          <w:pgSz w:w="16838" w:h="11906" w:orient="landscape"/>
          <w:pgMar w:top="720" w:right="720" w:bottom="720" w:left="720" w:header="1134" w:footer="0" w:gutter="0"/>
          <w:pgNumType w:fmt="decimal"/>
          <w:cols w:equalWidth="0" w:num="2">
            <w:col w:w="7486" w:space="425"/>
            <w:col w:w="7486"/>
          </w:cols>
          <w:formProt w:val="0"/>
          <w:rtlGutter w:val="0"/>
          <w:docGrid w:linePitch="360" w:charSpace="0"/>
        </w:sectPr>
      </w:pPr>
    </w:p>
    <w:p>
      <w:pPr>
        <w:tabs>
          <w:tab w:val="left" w:pos="200"/>
          <w:tab w:val="left" w:pos="7400"/>
        </w:tabs>
        <w:spacing w:line="360" w:lineRule="auto"/>
        <w:ind w:hanging="709"/>
        <w:jc w:val="right"/>
        <w:rPr>
          <w:rFonts w:hint="default"/>
          <w:lang w:val="ru-RU"/>
        </w:rPr>
      </w:pPr>
    </w:p>
    <w:sectPr>
      <w:type w:val="continuous"/>
      <w:pgSz w:w="16838" w:h="11906" w:orient="landscape"/>
      <w:pgMar w:top="720" w:right="720" w:bottom="720" w:left="720" w:header="1134" w:footer="0" w:gutter="0"/>
      <w:pgNumType w:fmt="decimal"/>
      <w:cols w:equalWidth="0" w:num="2">
        <w:col w:w="7486" w:space="425"/>
        <w:col w:w="7486"/>
      </w:cols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FFFF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a_AntiqueTradyNr">
    <w:altName w:val="Liberation Mono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Droid Sans Fallback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Armenian">
    <w:panose1 w:val="020B0502040504020204"/>
    <w:charset w:val="00"/>
    <w:family w:val="auto"/>
    <w:pitch w:val="default"/>
    <w:sig w:usb0="80000403" w:usb1="4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tab/>
    </w:r>
    <w:r>
      <w:fldChar w:fldCharType="begin"/>
    </w:r>
    <w:r>
      <w:instrText xml:space="preserve">PAGE</w:instrText>
    </w:r>
    <w:r>
      <w:fldChar w:fldCharType="separate"/>
    </w:r>
    <w: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286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1730"/>
    <w:rsid w:val="032F0DCE"/>
    <w:rsid w:val="045F164F"/>
    <w:rsid w:val="06207E3D"/>
    <w:rsid w:val="07ED0140"/>
    <w:rsid w:val="13524BD3"/>
    <w:rsid w:val="23C577D1"/>
    <w:rsid w:val="261127D8"/>
    <w:rsid w:val="266A0F0B"/>
    <w:rsid w:val="2B976111"/>
    <w:rsid w:val="2E866011"/>
    <w:rsid w:val="33380DF1"/>
    <w:rsid w:val="336F544D"/>
    <w:rsid w:val="34B51AB3"/>
    <w:rsid w:val="38C503AF"/>
    <w:rsid w:val="38CD6DAE"/>
    <w:rsid w:val="571A77B4"/>
    <w:rsid w:val="5B7E0B27"/>
    <w:rsid w:val="5FF12EE0"/>
    <w:rsid w:val="61517520"/>
    <w:rsid w:val="623F1451"/>
    <w:rsid w:val="6285545B"/>
    <w:rsid w:val="69FF0FE0"/>
    <w:rsid w:val="6B8143C7"/>
    <w:rsid w:val="6C016FAC"/>
    <w:rsid w:val="71FB7704"/>
    <w:rsid w:val="76AA2200"/>
    <w:rsid w:val="778D73FF"/>
    <w:rsid w:val="798E4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0" w:line="259" w:lineRule="auto"/>
      <w:jc w:val="left"/>
    </w:pPr>
    <w:rPr>
      <w:rFonts w:ascii="Cambria" w:hAnsi="Cambria" w:eastAsia="Calibri" w:cs="DejaVu Sans"/>
      <w:color w:val="auto"/>
      <w:kern w:val="0"/>
      <w:sz w:val="20"/>
      <w:szCs w:val="20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8">
    <w:name w:val="index 1"/>
    <w:basedOn w:val="1"/>
    <w:next w:val="1"/>
    <w:semiHidden/>
    <w:unhideWhenUsed/>
    <w:qFormat/>
    <w:uiPriority w:val="99"/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  <w:spacing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index heading"/>
    <w:basedOn w:val="1"/>
    <w:next w:val="8"/>
    <w:qFormat/>
    <w:uiPriority w:val="0"/>
    <w:pPr>
      <w:suppressLineNumbers/>
    </w:pPr>
    <w:rPr>
      <w:rFonts w:ascii="Times New Roman" w:hAnsi="Times New Roman"/>
    </w:rPr>
  </w:style>
  <w:style w:type="paragraph" w:styleId="12">
    <w:name w:val="footer"/>
    <w:basedOn w:val="1"/>
    <w:qFormat/>
    <w:uiPriority w:val="0"/>
    <w:pPr>
      <w:tabs>
        <w:tab w:val="center" w:pos="4677"/>
        <w:tab w:val="right" w:pos="9355"/>
      </w:tabs>
      <w:spacing w:line="240" w:lineRule="auto"/>
    </w:pPr>
  </w:style>
  <w:style w:type="paragraph" w:styleId="13">
    <w:name w:val="List"/>
    <w:basedOn w:val="10"/>
    <w:qFormat/>
    <w:uiPriority w:val="0"/>
    <w:rPr>
      <w:rFonts w:ascii="Times New Roman" w:hAnsi="Times New Roman"/>
    </w:rPr>
  </w:style>
  <w:style w:type="paragraph" w:styleId="14">
    <w:name w:val="Normal (Web)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Subtitle"/>
    <w:basedOn w:val="1"/>
    <w:qFormat/>
    <w:uiPriority w:val="0"/>
    <w:pPr>
      <w:spacing w:line="240" w:lineRule="auto"/>
      <w:jc w:val="center"/>
    </w:pPr>
    <w:rPr>
      <w:rFonts w:ascii="a_AntiqueTradyNr" w:hAnsi="a_AntiqueTradyNr" w:eastAsia="Times New Roman" w:cs="Times New Roman"/>
      <w:sz w:val="24"/>
      <w:lang w:eastAsia="ru-RU"/>
    </w:rPr>
  </w:style>
  <w:style w:type="character" w:customStyle="1" w:styleId="16">
    <w:name w:val="Верхний колонтитул Знак"/>
    <w:basedOn w:val="2"/>
    <w:qFormat/>
    <w:uiPriority w:val="0"/>
    <w:rPr>
      <w:rFonts w:ascii="Cambria" w:hAnsi="Cambria"/>
      <w:sz w:val="20"/>
      <w:szCs w:val="20"/>
    </w:rPr>
  </w:style>
  <w:style w:type="character" w:customStyle="1" w:styleId="17">
    <w:name w:val="Нижний колонтитул Знак"/>
    <w:basedOn w:val="2"/>
    <w:qFormat/>
    <w:uiPriority w:val="0"/>
    <w:rPr>
      <w:rFonts w:ascii="Cambria" w:hAnsi="Cambria"/>
      <w:sz w:val="20"/>
      <w:szCs w:val="20"/>
    </w:rPr>
  </w:style>
  <w:style w:type="character" w:customStyle="1" w:styleId="18">
    <w:name w:val="Текст выноски Знак"/>
    <w:basedOn w:val="2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Интернет-ссылка"/>
    <w:basedOn w:val="2"/>
    <w:qFormat/>
    <w:uiPriority w:val="0"/>
    <w:rPr>
      <w:color w:val="0000FF"/>
      <w:u w:val="single"/>
    </w:rPr>
  </w:style>
  <w:style w:type="character" w:customStyle="1" w:styleId="20">
    <w:name w:val="Символ нумерации"/>
    <w:qFormat/>
    <w:uiPriority w:val="0"/>
  </w:style>
  <w:style w:type="paragraph" w:customStyle="1" w:styleId="21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Droid Sans Fallback"/>
      <w:sz w:val="28"/>
      <w:szCs w:val="28"/>
    </w:rPr>
  </w:style>
  <w:style w:type="paragraph" w:customStyle="1" w:styleId="22">
    <w:name w:val="Указатель1"/>
    <w:basedOn w:val="1"/>
    <w:qFormat/>
    <w:uiPriority w:val="0"/>
    <w:pPr>
      <w:suppressLineNumbers/>
    </w:pPr>
    <w:rPr>
      <w:rFonts w:ascii="Times New Roman" w:hAnsi="Times New Roman" w:cs="DejaVu Sans"/>
    </w:rPr>
  </w:style>
  <w:style w:type="paragraph" w:customStyle="1" w:styleId="23">
    <w:name w:val="Верхний и нижний колонтитулы"/>
    <w:basedOn w:val="1"/>
    <w:qFormat/>
    <w:uiPriority w:val="0"/>
  </w:style>
  <w:style w:type="paragraph" w:customStyle="1" w:styleId="24">
    <w:name w:val="Содержимое таблицы"/>
    <w:basedOn w:val="1"/>
    <w:qFormat/>
    <w:uiPriority w:val="0"/>
    <w:pPr>
      <w:suppressLineNumbers/>
    </w:pPr>
  </w:style>
  <w:style w:type="paragraph" w:customStyle="1" w:styleId="25">
    <w:name w:val="Заголовок таблицы"/>
    <w:basedOn w:val="24"/>
    <w:qFormat/>
    <w:uiPriority w:val="0"/>
    <w:pPr>
      <w:jc w:val="center"/>
    </w:pPr>
    <w:rPr>
      <w:b/>
      <w:bCs/>
    </w:rPr>
  </w:style>
  <w:style w:type="paragraph" w:customStyle="1" w:styleId="26">
    <w:name w:val="ConsPlusCell"/>
    <w:qFormat/>
    <w:uiPriority w:val="0"/>
    <w:pPr>
      <w:widowControl w:val="0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27">
    <w:name w:val="No Spacing"/>
    <w:qFormat/>
    <w:uiPriority w:val="0"/>
    <w:pPr>
      <w:widowControl/>
      <w:bidi w:val="0"/>
      <w:spacing w:before="0" w:after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paragraph" w:customStyle="1" w:styleId="28">
    <w:name w:val="Default"/>
    <w:qFormat/>
    <w:uiPriority w:val="0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customStyle="1" w:styleId="29">
    <w:name w:val="Верхний колонтитул слева"/>
    <w:basedOn w:val="9"/>
    <w:qFormat/>
    <w:uiPriority w:val="0"/>
    <w:pPr>
      <w:suppressLineNumbers/>
    </w:pPr>
  </w:style>
  <w:style w:type="table" w:customStyle="1" w:styleId="30">
    <w:name w:val="Сетка таблицы3"/>
    <w:basedOn w:val="3"/>
    <w:qFormat/>
    <w:uiPriority w:val="39"/>
    <w:pPr>
      <w:spacing w:after="0" w:line="240" w:lineRule="auto"/>
      <w:jc w:val="both"/>
    </w:pPr>
    <w:rPr>
      <w:rFonts w:ascii="Times New Roman" w:hAnsi="Times New Roman" w:eastAsia="Calibri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1418</Words>
  <Characters>11005</Characters>
  <Paragraphs>62</Paragraphs>
  <TotalTime>6</TotalTime>
  <ScaleCrop>false</ScaleCrop>
  <LinksUpToDate>false</LinksUpToDate>
  <CharactersWithSpaces>12786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2020-12-26T07:23:00Z</dcterms:created>
  <dc:creator>Комлева Елена Романовна</dc:creator>
  <cp:lastModifiedBy>Пользователь</cp:lastModifiedBy>
  <cp:lastPrinted>2020-12-25T16:48:00Z</cp:lastPrinted>
  <dcterms:modified xsi:type="dcterms:W3CDTF">2023-02-13T11:37:07Z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1049-11.2.0.11440</vt:lpwstr>
  </property>
  <property fmtid="{D5CDD505-2E9C-101B-9397-08002B2CF9AE}" pid="10" name="ICV">
    <vt:lpwstr>A56EB347953146C380C950AD90E7B7E0</vt:lpwstr>
  </property>
</Properties>
</file>