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outlineLvl w:val="0"/>
        <w:rPr/>
      </w:pPr>
      <w:bookmarkStart w:id="0" w:name="_GoBack"/>
      <w:bookmarkEnd w:id="0"/>
      <w:r>
        <w:rPr/>
        <w:t>Зарегистрировано в Минюсте России 12 мая 2023 г. № 73283</w:t>
      </w:r>
    </w:p>
    <w:p>
      <w:pPr>
        <w:pStyle w:val="Normal"/>
        <w:spacing w:before="100" w:after="100"/>
        <w:jc w:val="both"/>
        <w:rPr>
          <w:sz w:val="2"/>
        </w:rPr>
      </w:pPr>
      <w:r>
        <w:rPr>
          <w:sz w:val="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МИНИСТЕРСТВО ЗДРАВООХРАНЕНИЯ РОССИЙСКОЙ ФЕДЕРАЦИИ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ПРИКАЗ</w:t>
      </w:r>
    </w:p>
    <w:p>
      <w:pPr>
        <w:pStyle w:val="Normal"/>
        <w:jc w:val="center"/>
        <w:rPr/>
      </w:pPr>
      <w:r>
        <w:rPr/>
        <w:t>от 2 мая 2023 г. № 202н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ОБ УТВЕРЖДЕНИИ ПЕРЕЧНЯ</w:t>
      </w:r>
    </w:p>
    <w:p>
      <w:pPr>
        <w:pStyle w:val="Normal"/>
        <w:jc w:val="center"/>
        <w:rPr/>
      </w:pPr>
      <w:r>
        <w:rPr/>
        <w:t>МЕДИЦИНСКИХ ПРОТИВОПОКАЗАНИЙ, В СВЯЗИ С НАЛИЧИЕМ</w:t>
      </w:r>
    </w:p>
    <w:p>
      <w:pPr>
        <w:pStyle w:val="Normal"/>
        <w:jc w:val="center"/>
        <w:rPr/>
      </w:pPr>
      <w:r>
        <w:rPr/>
        <w:t>КОТОРЫХ ГРАЖДАНИНУ ИЛИ ПОЛУЧАТЕЛЮ СОЦИАЛЬНЫХ УСЛУГ МОЖЕТ</w:t>
      </w:r>
    </w:p>
    <w:p>
      <w:pPr>
        <w:pStyle w:val="Normal"/>
        <w:jc w:val="center"/>
        <w:rPr/>
      </w:pPr>
      <w:r>
        <w:rPr/>
        <w:t>БЫТЬ ОТКАЗАНО, В ТОМ ЧИСЛЕ ВРЕМЕННО, В ПРЕДОСТАВЛЕНИИ</w:t>
      </w:r>
    </w:p>
    <w:p>
      <w:pPr>
        <w:pStyle w:val="Normal"/>
        <w:jc w:val="center"/>
        <w:rPr/>
      </w:pPr>
      <w:r>
        <w:rPr/>
        <w:t>СОЦИАЛЬНЫХ УСЛУГ В ФОРМЕ СОЦИАЛЬНОГО ОБСЛУЖИВАНИЯ НА ДОМУ,</w:t>
      </w:r>
    </w:p>
    <w:p>
      <w:pPr>
        <w:pStyle w:val="Normal"/>
        <w:jc w:val="center"/>
        <w:rPr/>
      </w:pPr>
      <w:r>
        <w:rPr/>
        <w:t>ИЛИ В ПОЛУСТАЦИОНАРНОЙ ФОРМЕ, ИЛИ В СТАЦИОНАРНОЙ ФОРМЕ,</w:t>
      </w:r>
    </w:p>
    <w:p>
      <w:pPr>
        <w:pStyle w:val="Normal"/>
        <w:jc w:val="center"/>
        <w:rPr/>
      </w:pPr>
      <w:r>
        <w:rPr/>
        <w:t>А ТАКЖЕ ФОРМЫ ЗАКЛЮЧЕНИЯ УПОЛНОМОЧЕННОЙ МЕДИЦИНСКОЙ</w:t>
      </w:r>
    </w:p>
    <w:p>
      <w:pPr>
        <w:pStyle w:val="Normal"/>
        <w:jc w:val="center"/>
        <w:rPr/>
      </w:pPr>
      <w:r>
        <w:rPr/>
        <w:t>ОРГАНИЗАЦИИ О НАЛИЧИИ (ОБ ОТСУТСТВИИ)</w:t>
      </w:r>
    </w:p>
    <w:p>
      <w:pPr>
        <w:pStyle w:val="Normal"/>
        <w:jc w:val="center"/>
        <w:rPr/>
      </w:pPr>
      <w:r>
        <w:rPr/>
        <w:t>ТАКИХ ПРОТИВОПОКАЗАНИЙ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 xml:space="preserve">В соответствии с </w:t>
      </w:r>
      <w:hyperlink r:id="rId2">
        <w:r>
          <w:rPr>
            <w:color w:val="0000FF"/>
          </w:rPr>
          <w:t>частью 3 статьи 18</w:t>
        </w:r>
      </w:hyperlink>
      <w:r>
        <w:rPr/>
        <w:t xml:space="preserve"> Федерального закона от 28 декабря 2013 г. № 442-ФЗ "Об основах социального обслуживания граждан в Российской Федерации", </w:t>
      </w:r>
      <w:hyperlink r:id="rId3">
        <w:r>
          <w:rPr>
            <w:color w:val="0000FF"/>
          </w:rPr>
          <w:t>подпунктом 11 части 2 статьи 14</w:t>
        </w:r>
      </w:hyperlink>
      <w:r>
        <w:rPr/>
        <w:t xml:space="preserve"> Федерального закона от 21 ноября 2011 г. № 323-ФЗ "Об основах охраны здоровья граждан в Российской Федерации" и </w:t>
      </w:r>
      <w:hyperlink r:id="rId4">
        <w:r>
          <w:rPr>
            <w:color w:val="0000FF"/>
          </w:rPr>
          <w:t>пунктом 1</w:t>
        </w:r>
      </w:hyperlink>
      <w:r>
        <w:rPr/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№ 608, приказываю:</w:t>
      </w:r>
    </w:p>
    <w:p>
      <w:pPr>
        <w:pStyle w:val="Normal"/>
        <w:spacing w:before="240" w:after="200"/>
        <w:ind w:firstLine="540"/>
        <w:jc w:val="both"/>
        <w:rPr/>
      </w:pPr>
      <w:r>
        <w:rPr/>
        <w:t>1. Утвердить:</w:t>
      </w:r>
    </w:p>
    <w:p>
      <w:pPr>
        <w:pStyle w:val="Normal"/>
        <w:spacing w:before="240" w:after="200"/>
        <w:ind w:firstLine="540"/>
        <w:jc w:val="both"/>
        <w:rPr/>
      </w:pPr>
      <w:hyperlink w:anchor="Par37" w:tgtFrame="ПЕРЕЧЕНЬ">
        <w:r>
          <w:rPr>
            <w:color w:val="0000FF"/>
          </w:rPr>
          <w:t>перечень</w:t>
        </w:r>
      </w:hyperlink>
      <w:r>
        <w:rPr/>
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№ 1 к настоящему приказу;</w:t>
      </w:r>
    </w:p>
    <w:p>
      <w:pPr>
        <w:pStyle w:val="Normal"/>
        <w:spacing w:before="240" w:after="200"/>
        <w:ind w:firstLine="540"/>
        <w:jc w:val="both"/>
        <w:rPr/>
      </w:pPr>
      <w:hyperlink w:anchor="Par192" w:tgtFrame="Заключение">
        <w:r>
          <w:rPr>
            <w:color w:val="0000FF"/>
          </w:rPr>
          <w:t>форму</w:t>
        </w:r>
      </w:hyperlink>
      <w:r>
        <w:rPr/>
        <w:t xml:space="preserve">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№ 2 к настоящему приказу.</w:t>
      </w:r>
    </w:p>
    <w:p>
      <w:pPr>
        <w:pStyle w:val="Normal"/>
        <w:spacing w:before="240" w:after="200"/>
        <w:ind w:firstLine="540"/>
        <w:jc w:val="both"/>
        <w:rPr/>
      </w:pPr>
      <w:r>
        <w:rPr/>
        <w:t xml:space="preserve">2. Признать утратившим силу </w:t>
      </w:r>
      <w:hyperlink r:id="rId5">
        <w:r>
          <w:rPr>
            <w:color w:val="0000FF"/>
          </w:rPr>
          <w:t>приказ</w:t>
        </w:r>
      </w:hyperlink>
      <w:r>
        <w:rPr/>
        <w:t xml:space="preserve"> Министерства здравоохранения Российской Федерации от 29 апреля 2015 г. №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Министерством юстиции Российской Федерации 9 июня 2015 г., регистрационный № 37608).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Министр</w:t>
      </w:r>
    </w:p>
    <w:p>
      <w:pPr>
        <w:pStyle w:val="Normal"/>
        <w:jc w:val="right"/>
        <w:rPr/>
      </w:pPr>
      <w:r>
        <w:rPr/>
        <w:t>М.А.МУРАШКО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>к приказу Минздрава Росси</w:t>
      </w:r>
    </w:p>
    <w:p>
      <w:pPr>
        <w:pStyle w:val="Normal"/>
        <w:jc w:val="right"/>
        <w:rPr/>
      </w:pPr>
      <w:r>
        <w:rPr/>
        <w:t>от 2 мая 2023 г. № 202н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bookmarkStart w:id="1" w:name="Par37"/>
      <w:bookmarkEnd w:id="1"/>
      <w:r>
        <w:rPr/>
        <w:t>ПЕРЕЧЕНЬ</w:t>
      </w:r>
    </w:p>
    <w:p>
      <w:pPr>
        <w:pStyle w:val="Normal"/>
        <w:jc w:val="center"/>
        <w:rPr/>
      </w:pPr>
      <w:r>
        <w:rPr/>
        <w:t>МЕДИЦИНСКИХ ПРОТИВОПОКАЗАНИЙ, В СВЯЗИ С НАЛИЧИЕМ</w:t>
      </w:r>
    </w:p>
    <w:p>
      <w:pPr>
        <w:pStyle w:val="Normal"/>
        <w:jc w:val="center"/>
        <w:rPr/>
      </w:pPr>
      <w:r>
        <w:rPr/>
        <w:t>КОТОРЫХ ГРАЖДАНИНУ ИЛИ ПОЛУЧАТЕЛЮ СОЦИАЛЬНЫХ УСЛУГ МОЖЕТ</w:t>
      </w:r>
    </w:p>
    <w:p>
      <w:pPr>
        <w:pStyle w:val="Normal"/>
        <w:jc w:val="center"/>
        <w:rPr/>
      </w:pPr>
      <w:r>
        <w:rPr/>
        <w:t>БЫТЬ ОТКАЗАНО, В ТОМ ЧИСЛЕ ВРЕМЕННО, В ПРЕДОСТАВЛЕНИИ</w:t>
      </w:r>
    </w:p>
    <w:p>
      <w:pPr>
        <w:pStyle w:val="Normal"/>
        <w:jc w:val="center"/>
        <w:rPr/>
      </w:pPr>
      <w:r>
        <w:rPr/>
        <w:t>СОЦИАЛЬНЫХ УСЛУГ В ФОРМЕ СОЦИАЛЬНОГО ОБСЛУЖИВАНИЯ НА ДОМУ,</w:t>
      </w:r>
    </w:p>
    <w:p>
      <w:pPr>
        <w:pStyle w:val="Normal"/>
        <w:jc w:val="center"/>
        <w:rPr/>
      </w:pPr>
      <w:r>
        <w:rPr/>
        <w:t>ИЛИ В ПОЛУСТАЦИОНАРНОЙ ФОРМЕ, ИЛИ В СТАЦИОНАРНОЙ ФОРМЕ</w:t>
      </w:r>
    </w:p>
    <w:p>
      <w:pPr>
        <w:pStyle w:val="Normal"/>
        <w:jc w:val="both"/>
        <w:rPr/>
      </w:pPr>
      <w:r>
        <w:rPr/>
      </w:r>
    </w:p>
    <w:tbl>
      <w:tblPr>
        <w:tblW w:w="967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07"/>
        <w:gridCol w:w="7066"/>
        <w:gridCol w:w="2101"/>
      </w:tblGrid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N п/п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Наименование или характеристика заболевания (состояния)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Код заболевания (состояния) по </w:t>
            </w:r>
            <w:hyperlink r:id="rId6">
              <w:r>
                <w:rPr>
                  <w:color w:val="0000FF"/>
                </w:rPr>
                <w:t>МКБ-10</w:t>
              </w:r>
            </w:hyperlink>
            <w:r>
              <w:rPr/>
              <w:t xml:space="preserve"> </w:t>
            </w:r>
            <w:hyperlink w:anchor="Par179" w:tgtFrame="&lt;1&gt; Международная статистическая классификация болезней и проблем, связанных со здоровьем, 10 пересмотра.">
              <w:r>
                <w:rPr>
                  <w:color w:val="0000FF"/>
                </w:rPr>
                <w:t>&lt;1&gt;</w:t>
              </w:r>
            </w:hyperlink>
          </w:p>
        </w:tc>
      </w:tr>
      <w:tr>
        <w:trPr/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1"/>
              <w:rPr/>
            </w:pPr>
            <w:r>
              <w:rPr/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A15,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A17 - A19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Лепра с бактериовыделением, подтвержденным методом бактериоскопии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A30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F00 - F09,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F20 - F29,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F30 - F39,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F40 - F48,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F60 - F69,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F70 - F79,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F80 - F89,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F90 - F98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F10 - F16,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F18, F19</w:t>
            </w:r>
          </w:p>
        </w:tc>
      </w:tr>
      <w:tr>
        <w:trPr/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1"/>
              <w:rPr/>
            </w:pPr>
            <w:r>
              <w:rPr/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A15,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A17 - A19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Лепра с бактериовыделением, подтвержденным методом бактериоскопии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A30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Инфекционные заболевания, представляющие опасность для окружающих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A00,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A01,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A20,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A22,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A36 - A39,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A85 - 89,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B01,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B03 - B06,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B08.4,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B08.5,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B15,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B17.2,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B17.8,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B17.9,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B26,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B30,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B34,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B85,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B86,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B97,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R50,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J00 - J06,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J09 - J18,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J20 - J22,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U07.1,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U07.2,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Z03.8,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Z20.8,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Z29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F00 - F09,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F20 - F29,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F30 - F39,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F40 - F48,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F60 - F69,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F70 - F79,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F80 - F89,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F90 - F98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9.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F10 - F16,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F18,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F19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Гангрена и некроз легкого, абсцесс легкого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J85.0 - J85.2</w:t>
            </w:r>
          </w:p>
        </w:tc>
      </w:tr>
      <w:tr>
        <w:trPr/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1"/>
              <w:rPr/>
            </w:pPr>
            <w:r>
              <w:rPr/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11.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A15,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A17 - A19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12.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Лепра с бактериовыделением, подтвержденным методом бактериоскопии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A30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13.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Инфекционные заболевания, представляющие опасность для окружающих и требующие оказания медицинской помощи в медицинских 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A00,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A01,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A20,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A22,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A36 - A39,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A85 - 89,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B01,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B03 - B06,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B08.4,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B08.5,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B09,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B15,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B17.2,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B17.8,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B17.9,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B26,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B34,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J00 - J06,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J09 - J18,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J20 - J22,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U07.1,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U07.2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14.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F00 - F09,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F20 - F29,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F30 - F39,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F40 - F48,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F60 - F69,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F70 - F79,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F80 - F89,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F90 - F98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15.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F10 - F16,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F18,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F19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16.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Гангрена и некроз легкого, абсцесс легкого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J85.0 - J85.2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--------------------------------</w:t>
      </w:r>
    </w:p>
    <w:p>
      <w:pPr>
        <w:pStyle w:val="Normal"/>
        <w:spacing w:before="240" w:after="200"/>
        <w:ind w:firstLine="540"/>
        <w:jc w:val="both"/>
        <w:rPr/>
      </w:pPr>
      <w:bookmarkStart w:id="2" w:name="Par179"/>
      <w:bookmarkEnd w:id="2"/>
      <w:r>
        <w:rPr/>
        <w:t xml:space="preserve">&lt;1&gt; Международная статистическая </w:t>
      </w:r>
      <w:hyperlink r:id="rId7">
        <w:r>
          <w:rPr>
            <w:color w:val="0000FF"/>
          </w:rPr>
          <w:t>классификация</w:t>
        </w:r>
      </w:hyperlink>
      <w:r>
        <w:rPr/>
        <w:t xml:space="preserve"> болезней и проблем, связанных со здоровьем, 10 пересмотра.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right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Минздрава России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 мая 2023 г. № 202н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bookmarkStart w:id="3" w:name="Par192"/>
            <w:bookmarkEnd w:id="3"/>
            <w:r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346"/>
        <w:gridCol w:w="734"/>
        <w:gridCol w:w="967"/>
        <w:gridCol w:w="1678"/>
        <w:gridCol w:w="510"/>
        <w:gridCol w:w="4749"/>
      </w:tblGrid>
      <w:tr>
        <w:trPr/>
        <w:tc>
          <w:tcPr>
            <w:tcW w:w="134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Выдано</w:t>
            </w:r>
          </w:p>
        </w:tc>
        <w:tc>
          <w:tcPr>
            <w:tcW w:w="863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84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9984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(полное наименование и адрес уполномоченной медицинской организации)</w:t>
            </w:r>
          </w:p>
        </w:tc>
      </w:tr>
      <w:tr>
        <w:trPr/>
        <w:tc>
          <w:tcPr>
            <w:tcW w:w="998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 __________________________________________________________________________________</w:t>
            </w:r>
          </w:p>
        </w:tc>
      </w:tr>
      <w:tr>
        <w:trPr/>
        <w:tc>
          <w:tcPr>
            <w:tcW w:w="4725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Фамилия, имя, отчество (при наличии)</w:t>
            </w:r>
          </w:p>
        </w:tc>
        <w:tc>
          <w:tcPr>
            <w:tcW w:w="525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2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(гражданина или получателя социальных услуг)</w:t>
            </w:r>
          </w:p>
        </w:tc>
      </w:tr>
      <w:tr>
        <w:trPr/>
        <w:tc>
          <w:tcPr>
            <w:tcW w:w="304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Пол (мужской/женский)</w:t>
            </w:r>
          </w:p>
        </w:tc>
        <w:tc>
          <w:tcPr>
            <w:tcW w:w="693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Дата рождения</w:t>
            </w:r>
          </w:p>
        </w:tc>
        <w:tc>
          <w:tcPr>
            <w:tcW w:w="790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5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Адрес места жительства (места пребывания)</w:t>
            </w:r>
          </w:p>
        </w:tc>
        <w:tc>
          <w:tcPr>
            <w:tcW w:w="4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84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4" w:hRule="atLeast"/>
        </w:trPr>
        <w:tc>
          <w:tcPr>
            <w:tcW w:w="9984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Заключение:</w:t>
            </w:r>
          </w:p>
        </w:tc>
      </w:tr>
      <w:tr>
        <w:trPr/>
        <w:tc>
          <w:tcPr>
            <w:tcW w:w="9984" w:type="dxa"/>
            <w:gridSpan w:val="6"/>
            <w:tcBorders/>
          </w:tcPr>
          <w:p>
            <w:pPr>
              <w:pStyle w:val="Normal"/>
              <w:widowControl w:val="false"/>
              <w:spacing w:lineRule="auto" w:line="240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(нужно подчеркнуть):</w:t>
            </w:r>
          </w:p>
          <w:p>
            <w:pPr>
              <w:pStyle w:val="Normal"/>
              <w:widowControl w:val="false"/>
              <w:spacing w:lineRule="auto" w:line="240"/>
              <w:ind w:firstLine="283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наличие (отсутствие) </w:t>
            </w:r>
            <w:hyperlink r:id="rId8" w:tgtFrame="&lt;1&gt; Части 3 и 4 статьи 18 Федерального закона от 28 декабря 2013 г. N 442-ФЗ \l Par237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      </w:r>
          </w:p>
          <w:p>
            <w:pPr>
              <w:pStyle w:val="Normal"/>
              <w:widowControl w:val="false"/>
              <w:spacing w:lineRule="auto" w:line="240"/>
              <w:ind w:firstLine="283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наличие (отсутствие) </w:t>
            </w:r>
            <w:hyperlink r:id="rId9" w:tgtFrame="&lt;1&gt; Части 3 и 4 статьи 18 Федерального закона от 28 декабря 2013 г. N 442-ФЗ \l Par237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      </w:r>
          </w:p>
          <w:p>
            <w:pPr>
              <w:pStyle w:val="Normal"/>
              <w:widowControl w:val="false"/>
              <w:spacing w:lineRule="auto" w:line="240" w:before="0" w:after="200"/>
              <w:ind w:firstLine="284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наличие (отсутствие) </w:t>
            </w:r>
            <w:hyperlink r:id="rId10" w:tgtFrame="&lt;1&gt; Части 3 и 4 статьи 18 Федерального закона от 28 декабря 2013 г. N 442-ФЗ \l Par237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170"/>
        <w:gridCol w:w="343"/>
        <w:gridCol w:w="2379"/>
        <w:gridCol w:w="342"/>
        <w:gridCol w:w="2381"/>
      </w:tblGrid>
      <w:tr>
        <w:trPr/>
        <w:tc>
          <w:tcPr>
            <w:tcW w:w="9615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врачебной комиссии:</w:t>
            </w:r>
          </w:p>
        </w:tc>
      </w:tr>
      <w:tr>
        <w:trPr/>
        <w:tc>
          <w:tcPr>
            <w:tcW w:w="417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17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  <w:tr>
        <w:trPr/>
        <w:tc>
          <w:tcPr>
            <w:tcW w:w="4170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3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342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firstLine="53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>
      <w:pPr>
        <w:pStyle w:val="Normal"/>
        <w:spacing w:lineRule="auto" w:line="240" w:before="0" w:after="200"/>
        <w:ind w:firstLine="539"/>
        <w:jc w:val="both"/>
        <w:rPr/>
      </w:pPr>
      <w:bookmarkStart w:id="4" w:name="Par237"/>
      <w:bookmarkEnd w:id="4"/>
      <w:r>
        <w:rPr>
          <w:rFonts w:ascii="Times New Roman" w:hAnsi="Times New Roman"/>
          <w:sz w:val="24"/>
          <w:szCs w:val="24"/>
        </w:rPr>
        <w:t xml:space="preserve">&lt;1&gt; </w:t>
      </w:r>
      <w:hyperlink r:id="rId11">
        <w:r>
          <w:rPr>
            <w:rFonts w:ascii="Times New Roman" w:hAnsi="Times New Roman"/>
            <w:color w:val="0000FF"/>
            <w:sz w:val="24"/>
            <w:szCs w:val="24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2">
        <w:r>
          <w:rPr>
            <w:rFonts w:ascii="Times New Roman" w:hAnsi="Times New Roman"/>
            <w:color w:val="0000FF"/>
            <w:sz w:val="24"/>
            <w:szCs w:val="24"/>
          </w:rPr>
          <w:t>4 статьи 18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28 декабря 2013 г. № 442-ФЗ "Об основах социального обслуживания граждан в Российской Федерации".</w:t>
      </w:r>
    </w:p>
    <w:sectPr>
      <w:headerReference w:type="default" r:id="rId13"/>
      <w:type w:val="nextPage"/>
      <w:pgSz w:w="11906" w:h="16838"/>
      <w:pgMar w:left="1133" w:right="566" w:gutter="0" w:header="567" w:top="851" w:footer="0" w:bottom="70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2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ConsPlusNormal" w:customStyle="1">
    <w:name w:val="ConsPlusNormal"/>
    <w:link w:val="ConsPlusNormal1"/>
    <w:qFormat/>
    <w:rPr>
      <w:rFonts w:ascii="Times New Roman" w:hAnsi="Times New Roman"/>
      <w:sz w:val="24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ConsPlusTitlePage" w:customStyle="1">
    <w:name w:val="ConsPlusTitlePage"/>
    <w:link w:val="ConsPlusTitlePage1"/>
    <w:qFormat/>
    <w:rPr>
      <w:rFonts w:ascii="Tahoma" w:hAnsi="Tahoma"/>
      <w:sz w:val="24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-">
    <w:name w:val="Hyperlink"/>
    <w:link w:val="15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sPlusCell" w:customStyle="1">
    <w:name w:val="ConsPlusCell"/>
    <w:link w:val="ConsPlusCell1"/>
    <w:qFormat/>
    <w:rPr>
      <w:rFonts w:ascii="Courier New" w:hAnsi="Courier New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ConsPlusTextList" w:customStyle="1">
    <w:name w:val="ConsPlusTextList"/>
    <w:link w:val="ConsPlusTextList2"/>
    <w:qFormat/>
    <w:rPr>
      <w:rFonts w:ascii="Times New Roman" w:hAnsi="Times New Roman"/>
      <w:sz w:val="24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ConsPlusDocList" w:customStyle="1">
    <w:name w:val="ConsPlusDocList"/>
    <w:link w:val="ConsPlusDocList1"/>
    <w:qFormat/>
    <w:rPr>
      <w:rFonts w:ascii="Tahoma" w:hAnsi="Tahoma"/>
      <w:sz w:val="18"/>
    </w:rPr>
  </w:style>
  <w:style w:type="character" w:styleId="ConsPlusJurTerm" w:customStyle="1">
    <w:name w:val="ConsPlusJurTerm"/>
    <w:link w:val="ConsPlusJurTerm1"/>
    <w:qFormat/>
    <w:rPr>
      <w:rFonts w:ascii="Times New Roman" w:hAnsi="Times New Roman"/>
      <w:sz w:val="24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Нижний колонтитул Знак"/>
    <w:basedOn w:val="11"/>
    <w:qFormat/>
    <w:rPr>
      <w:sz w:val="22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Верхний колонтитул Знак"/>
    <w:basedOn w:val="11"/>
    <w:qFormat/>
    <w:rPr>
      <w:sz w:val="22"/>
    </w:rPr>
  </w:style>
  <w:style w:type="character" w:styleId="ConsPlusTextList1" w:customStyle="1">
    <w:name w:val="ConsPlusTextList1"/>
    <w:link w:val="ConsPlusTextList11"/>
    <w:qFormat/>
    <w:rPr>
      <w:rFonts w:ascii="Times New Roman" w:hAnsi="Times New Roman"/>
      <w:sz w:val="24"/>
    </w:rPr>
  </w:style>
  <w:style w:type="character" w:styleId="Style12" w:customStyle="1">
    <w:name w:val="Название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ConsPlusTitle" w:customStyle="1">
    <w:name w:val="ConsPlusTitle"/>
    <w:link w:val="ConsPlusTitle1"/>
    <w:qFormat/>
    <w:rPr>
      <w:rFonts w:ascii="Arial" w:hAnsi="Arial"/>
      <w:b/>
      <w:sz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TitlePage1" w:customStyle="1">
    <w:name w:val="ConsPlusTitlePage"/>
    <w:link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Cell1" w:customStyle="1">
    <w:name w:val="ConsPlusCell"/>
    <w:link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6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sPlusTextList2" w:customStyle="1">
    <w:name w:val="ConsPlusTextList"/>
    <w:link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18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DocList1" w:customStyle="1">
    <w:name w:val="ConsPlusDocList"/>
    <w:link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ConsPlusJurTerm1" w:customStyle="1">
    <w:name w:val="ConsPlusJurTerm"/>
    <w:link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nformat1" w:customStyle="1">
    <w:name w:val="ConsPlusNonformat"/>
    <w:link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9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0">
    <w:name w:val="Subtitle"/>
    <w:next w:val="Normal"/>
    <w:link w:val="Style10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1">
    <w:name w:val="Header"/>
    <w:basedOn w:val="Normal"/>
    <w:link w:val="Style1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extList11" w:customStyle="1">
    <w:name w:val="ConsPlusTextList1"/>
    <w:link w:val="ConsPlusTextList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22">
    <w:name w:val="Title"/>
    <w:next w:val="Normal"/>
    <w:link w:val="Style12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onsPlusTitle1" w:customStyle="1">
    <w:name w:val="ConsPlusTitle"/>
    <w:link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46060&amp;date=16.05.2023&amp;dst=50&amp;field=134" TargetMode="External"/><Relationship Id="rId3" Type="http://schemas.openxmlformats.org/officeDocument/2006/relationships/hyperlink" Target="https://login.consultant.ru/link/?req=doc&amp;base=LAW&amp;n=446199&amp;date=16.05.2023&amp;dst=224&amp;field=134" TargetMode="External"/><Relationship Id="rId4" Type="http://schemas.openxmlformats.org/officeDocument/2006/relationships/hyperlink" Target="https://login.consultant.ru/link/?req=doc&amp;base=LAW&amp;n=428038&amp;date=16.05.2023&amp;dst=167&amp;field=134" TargetMode="External"/><Relationship Id="rId5" Type="http://schemas.openxmlformats.org/officeDocument/2006/relationships/hyperlink" Target="https://login.consultant.ru/link/?req=doc&amp;base=LAW&amp;n=181083&amp;date=16.05.2023" TargetMode="External"/><Relationship Id="rId6" Type="http://schemas.openxmlformats.org/officeDocument/2006/relationships/hyperlink" Target="https://login.consultant.ru/link/?req=doc&amp;base=EXP&amp;n=763941&amp;date=16.05.2023" TargetMode="External"/><Relationship Id="rId7" Type="http://schemas.openxmlformats.org/officeDocument/2006/relationships/hyperlink" Target="https://login.consultant.ru/link/?req=doc&amp;base=EXP&amp;n=763941&amp;date=16.05.2023" TargetMode="External"/><Relationship Id="rId8" Type="http://schemas.openxmlformats.org/officeDocument/2006/relationships/hyperlink" Target="../../../&#1057;&#1080;&#1083;&#1080;&#1074;&#1086;&#1085;&#1080;&#1082;&#1045;&#1042;/Downloads/&#1054;&#1073;" TargetMode="External"/><Relationship Id="rId9" Type="http://schemas.openxmlformats.org/officeDocument/2006/relationships/hyperlink" Target="../../../&#1057;&#1080;&#1083;&#1080;&#1074;&#1086;&#1085;&#1080;&#1082;&#1045;&#1042;/Downloads/&#1054;&#1073;" TargetMode="External"/><Relationship Id="rId10" Type="http://schemas.openxmlformats.org/officeDocument/2006/relationships/hyperlink" Target="../../../&#1057;&#1080;&#1083;&#1080;&#1074;&#1086;&#1085;&#1080;&#1082;&#1045;&#1042;/Downloads/&#1054;&#1073;" TargetMode="External"/><Relationship Id="rId11" Type="http://schemas.openxmlformats.org/officeDocument/2006/relationships/hyperlink" Target="https://login.consultant.ru/link/?req=doc&amp;base=LAW&amp;n=446060&amp;date=16.05.2023&amp;dst=50&amp;field=134" TargetMode="External"/><Relationship Id="rId12" Type="http://schemas.openxmlformats.org/officeDocument/2006/relationships/hyperlink" Target="https://login.consultant.ru/link/?req=doc&amp;base=LAW&amp;n=446060&amp;date=16.05.2023&amp;dst=51&amp;field=134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LibreOffice/7.5.2.2$Windows_x86 LibreOffice_project/53bb9681a964705cf672590721dbc85eb4d0c3a2</Application>
  <AppVersion>15.0000</AppVersion>
  <Pages>9</Pages>
  <Words>1195</Words>
  <Characters>7805</Characters>
  <CharactersWithSpaces>8809</CharactersWithSpaces>
  <Paragraphs>191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2023-05-17T06:12:00Z</dcterms:created>
  <dc:creator>Васильева ТЮ</dc:creator>
  <dc:description/>
  <dc:language>ru-RU</dc:language>
  <cp:lastModifiedBy/>
  <cp:lastPrinted>2023-06-16T11:14:08Z</cp:lastPrinted>
  <dcterms:modified xsi:type="dcterms:W3CDTF">2023-06-16T11:16:24Z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